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A17D" w14:textId="77777777" w:rsidR="0051282D" w:rsidRPr="000B448E" w:rsidRDefault="0051282D" w:rsidP="0051282D">
      <w:pPr>
        <w:pStyle w:val="Default"/>
        <w:jc w:val="center"/>
        <w:rPr>
          <w:rFonts w:ascii="Times New Roman" w:hAnsi="Times New Roman" w:cs="Times New Roman"/>
          <w:b/>
          <w:bCs/>
          <w:color w:val="auto"/>
        </w:rPr>
      </w:pPr>
      <w:r w:rsidRPr="000B448E">
        <w:rPr>
          <w:rFonts w:ascii="Times New Roman" w:hAnsi="Times New Roman" w:cs="Times New Roman"/>
          <w:b/>
          <w:bCs/>
          <w:color w:val="auto"/>
        </w:rPr>
        <w:t>REGOLAMENTO DIDATTICO DEL CORSO DI LAUREA MAGISTRALE</w:t>
      </w:r>
    </w:p>
    <w:p w14:paraId="676AE9B6" w14:textId="77777777" w:rsidR="0051282D" w:rsidRPr="000B448E" w:rsidRDefault="0051282D" w:rsidP="0051282D">
      <w:pPr>
        <w:pStyle w:val="Default"/>
        <w:jc w:val="center"/>
        <w:rPr>
          <w:rFonts w:ascii="Times New Roman" w:hAnsi="Times New Roman" w:cs="Times New Roman"/>
          <w:b/>
          <w:bCs/>
          <w:color w:val="auto"/>
        </w:rPr>
      </w:pPr>
      <w:r w:rsidRPr="000B448E">
        <w:rPr>
          <w:rFonts w:ascii="Times New Roman" w:hAnsi="Times New Roman" w:cs="Times New Roman"/>
          <w:b/>
          <w:bCs/>
          <w:color w:val="auto"/>
        </w:rPr>
        <w:t>IN ECONOMIA E MANAGEMENT MARITTIMO E PORTUALE</w:t>
      </w:r>
    </w:p>
    <w:p w14:paraId="0B94D8E4" w14:textId="77777777" w:rsidR="0051282D" w:rsidRPr="00DA1CD6" w:rsidRDefault="0051282D" w:rsidP="0051282D">
      <w:pPr>
        <w:pStyle w:val="Default"/>
        <w:jc w:val="center"/>
        <w:rPr>
          <w:rFonts w:ascii="Times New Roman" w:hAnsi="Times New Roman" w:cs="Times New Roman"/>
          <w:b/>
          <w:bCs/>
          <w:color w:val="auto"/>
        </w:rPr>
      </w:pPr>
      <w:r w:rsidRPr="000B448E">
        <w:rPr>
          <w:rFonts w:ascii="Times New Roman" w:hAnsi="Times New Roman" w:cs="Times New Roman"/>
          <w:b/>
          <w:bCs/>
          <w:color w:val="auto"/>
        </w:rPr>
        <w:t xml:space="preserve">A.A. </w:t>
      </w:r>
      <w:r w:rsidRPr="00DA1CD6">
        <w:rPr>
          <w:rFonts w:ascii="Times New Roman" w:hAnsi="Times New Roman" w:cs="Times New Roman"/>
          <w:b/>
          <w:bCs/>
          <w:color w:val="auto"/>
        </w:rPr>
        <w:t>202</w:t>
      </w:r>
      <w:r>
        <w:rPr>
          <w:rFonts w:ascii="Times New Roman" w:hAnsi="Times New Roman" w:cs="Times New Roman"/>
          <w:b/>
          <w:bCs/>
          <w:color w:val="auto"/>
        </w:rPr>
        <w:t>4</w:t>
      </w:r>
      <w:r w:rsidRPr="00DA1CD6">
        <w:rPr>
          <w:rFonts w:ascii="Times New Roman" w:hAnsi="Times New Roman" w:cs="Times New Roman"/>
          <w:b/>
          <w:bCs/>
          <w:color w:val="auto"/>
        </w:rPr>
        <w:t>/202</w:t>
      </w:r>
      <w:r>
        <w:rPr>
          <w:rFonts w:ascii="Times New Roman" w:hAnsi="Times New Roman" w:cs="Times New Roman"/>
          <w:b/>
          <w:bCs/>
          <w:color w:val="auto"/>
        </w:rPr>
        <w:t>5</w:t>
      </w:r>
    </w:p>
    <w:p w14:paraId="68515A46" w14:textId="77777777" w:rsidR="0051282D" w:rsidRPr="006D3D2B" w:rsidRDefault="0051282D" w:rsidP="0051282D">
      <w:pPr>
        <w:pStyle w:val="Default"/>
        <w:jc w:val="center"/>
        <w:rPr>
          <w:rFonts w:ascii="Times New Roman" w:hAnsi="Times New Roman" w:cs="Times New Roman"/>
          <w:color w:val="auto"/>
        </w:rPr>
      </w:pPr>
      <w:r w:rsidRPr="006D3D2B">
        <w:rPr>
          <w:rFonts w:ascii="Times New Roman" w:hAnsi="Times New Roman" w:cs="Times New Roman"/>
          <w:color w:val="auto"/>
        </w:rPr>
        <w:t>Approvato dal Consiglio di Corso di Studio (CCS) in data</w:t>
      </w:r>
      <w:r>
        <w:rPr>
          <w:rFonts w:ascii="Times New Roman" w:hAnsi="Times New Roman" w:cs="Times New Roman"/>
          <w:color w:val="auto"/>
        </w:rPr>
        <w:t xml:space="preserve"> 2 maggio 2024</w:t>
      </w:r>
    </w:p>
    <w:p w14:paraId="14011928" w14:textId="77777777" w:rsidR="0051282D" w:rsidRDefault="0051282D" w:rsidP="0051282D">
      <w:pPr>
        <w:pStyle w:val="Default"/>
        <w:jc w:val="both"/>
        <w:rPr>
          <w:rFonts w:ascii="Times New Roman" w:hAnsi="Times New Roman" w:cs="Times New Roman"/>
          <w:color w:val="auto"/>
          <w:highlight w:val="yellow"/>
        </w:rPr>
      </w:pPr>
    </w:p>
    <w:p w14:paraId="092ED253" w14:textId="77777777" w:rsidR="0051282D" w:rsidRPr="000B448E" w:rsidRDefault="0051282D" w:rsidP="0051282D">
      <w:pPr>
        <w:pStyle w:val="Default"/>
        <w:jc w:val="both"/>
        <w:rPr>
          <w:rFonts w:ascii="Times New Roman" w:hAnsi="Times New Roman" w:cs="Times New Roman"/>
          <w:color w:val="auto"/>
          <w:highlight w:val="yellow"/>
        </w:rPr>
      </w:pPr>
    </w:p>
    <w:p w14:paraId="644775DE" w14:textId="77777777" w:rsidR="0051282D" w:rsidRPr="000B448E" w:rsidRDefault="0051282D" w:rsidP="0051282D">
      <w:pPr>
        <w:pStyle w:val="Default"/>
        <w:jc w:val="both"/>
        <w:rPr>
          <w:rFonts w:ascii="Times New Roman" w:hAnsi="Times New Roman" w:cs="Times New Roman"/>
          <w:b/>
          <w:bCs/>
          <w:color w:val="auto"/>
        </w:rPr>
      </w:pPr>
      <w:r w:rsidRPr="000B448E">
        <w:rPr>
          <w:rFonts w:ascii="Times New Roman" w:hAnsi="Times New Roman" w:cs="Times New Roman"/>
          <w:b/>
          <w:bCs/>
          <w:color w:val="auto"/>
        </w:rPr>
        <w:t xml:space="preserve">PARTE GENERALE </w:t>
      </w:r>
    </w:p>
    <w:p w14:paraId="2481BCF0" w14:textId="77777777" w:rsidR="0051282D" w:rsidRPr="000B448E" w:rsidRDefault="0051282D" w:rsidP="0051282D">
      <w:pPr>
        <w:pStyle w:val="Default"/>
        <w:jc w:val="both"/>
        <w:rPr>
          <w:rFonts w:ascii="Times New Roman" w:hAnsi="Times New Roman" w:cs="Times New Roman"/>
          <w:b/>
          <w:bCs/>
          <w:color w:val="auto"/>
        </w:rPr>
      </w:pPr>
    </w:p>
    <w:p w14:paraId="2039FD42"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1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Premessa e ambito di competenza</w:t>
      </w:r>
    </w:p>
    <w:p w14:paraId="6BB59E0C"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Il presente Regolamento, in conformità allo Statuto e al Regolamento Didattico di Ateneo, disciplina gli aspetti organizzativi dell’attività didattica del Corso di studio magistrale in Economia e management marittimo e portuale (di seguito denominato CdS EMMP), nonché ogni diversa materia ad esso devoluta da altre fonti legislative e regolamentari. </w:t>
      </w:r>
    </w:p>
    <w:p w14:paraId="317D20BB" w14:textId="77777777" w:rsidR="0051282D" w:rsidRPr="000B448E" w:rsidRDefault="0051282D" w:rsidP="0051282D">
      <w:pPr>
        <w:pStyle w:val="Default"/>
        <w:jc w:val="both"/>
        <w:rPr>
          <w:rFonts w:ascii="Times New Roman" w:hAnsi="Times New Roman" w:cs="Times New Roman"/>
          <w:color w:val="auto"/>
          <w:highlight w:val="yellow"/>
        </w:rPr>
      </w:pPr>
    </w:p>
    <w:p w14:paraId="285D6ED7"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2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 xml:space="preserve">Requisiti di ammissione e relative modalità di verifica </w:t>
      </w:r>
    </w:p>
    <w:p w14:paraId="2371FDD5"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L’accesso al Corso di laurea magistrale EMMP prevede: </w:t>
      </w:r>
    </w:p>
    <w:p w14:paraId="6723920B"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a) il possesso dei requisiti curriculari </w:t>
      </w:r>
    </w:p>
    <w:p w14:paraId="5AA69CA4"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b) l’adeguatezza della personale preparazione. </w:t>
      </w:r>
    </w:p>
    <w:p w14:paraId="44D427F4" w14:textId="77777777" w:rsidR="0051282D" w:rsidRPr="000B448E" w:rsidRDefault="0051282D" w:rsidP="0051282D">
      <w:pPr>
        <w:pStyle w:val="Default"/>
        <w:spacing w:after="120"/>
        <w:ind w:firstLine="284"/>
        <w:jc w:val="both"/>
        <w:rPr>
          <w:rFonts w:ascii="Times New Roman" w:hAnsi="Times New Roman" w:cs="Times New Roman"/>
          <w:color w:val="auto"/>
        </w:rPr>
      </w:pPr>
      <w:r w:rsidRPr="000B448E">
        <w:rPr>
          <w:rFonts w:ascii="Times New Roman" w:hAnsi="Times New Roman" w:cs="Times New Roman"/>
          <w:color w:val="auto"/>
        </w:rPr>
        <w:t>L’accertamento del possesso dei requisiti curriculari e la verifica dell’adeguatezza della personale preparazione devono essere effettuati prima dell’iscrizione. Non è prevista l</w:t>
      </w:r>
      <w:r>
        <w:rPr>
          <w:rFonts w:ascii="Times New Roman" w:hAnsi="Times New Roman" w:cs="Times New Roman"/>
          <w:color w:val="auto"/>
        </w:rPr>
        <w:t>’</w:t>
      </w:r>
      <w:r w:rsidRPr="000B448E">
        <w:rPr>
          <w:rFonts w:ascii="Times New Roman" w:hAnsi="Times New Roman" w:cs="Times New Roman"/>
          <w:color w:val="auto"/>
        </w:rPr>
        <w:t xml:space="preserve">iscrizione con debito formativo. </w:t>
      </w:r>
    </w:p>
    <w:p w14:paraId="1A0D9675"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a) Possesso dei requisiti curriculari</w:t>
      </w:r>
    </w:p>
    <w:p w14:paraId="1651BFAD"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Costituisce </w:t>
      </w:r>
      <w:r>
        <w:rPr>
          <w:rFonts w:ascii="Times New Roman" w:hAnsi="Times New Roman" w:cs="Times New Roman"/>
          <w:color w:val="auto"/>
        </w:rPr>
        <w:t>requisito</w:t>
      </w:r>
      <w:r w:rsidRPr="000B448E">
        <w:rPr>
          <w:rFonts w:ascii="Times New Roman" w:hAnsi="Times New Roman" w:cs="Times New Roman"/>
          <w:color w:val="auto"/>
        </w:rPr>
        <w:t xml:space="preserve"> il conseguimento della laurea triennale oppure </w:t>
      </w:r>
      <w:r>
        <w:rPr>
          <w:rFonts w:ascii="Times New Roman" w:hAnsi="Times New Roman" w:cs="Times New Roman"/>
          <w:color w:val="auto"/>
        </w:rPr>
        <w:t xml:space="preserve">di un </w:t>
      </w:r>
      <w:r w:rsidRPr="000B448E">
        <w:rPr>
          <w:rFonts w:ascii="Times New Roman" w:hAnsi="Times New Roman" w:cs="Times New Roman"/>
          <w:color w:val="auto"/>
        </w:rPr>
        <w:t xml:space="preserve">diploma universitario di durata almeno triennale, laurea quadriennale, laurea magistrale a ciclo unico, altro titolo conseguito all’estero e riconosciuto idoneo in base alla normativa vigente. </w:t>
      </w:r>
    </w:p>
    <w:p w14:paraId="59331A07" w14:textId="77777777" w:rsidR="0051282D" w:rsidRPr="00336D04"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Coloro che hanno conseguito il titolo di studio all’estero saranno sottoposti a una specifica prova di conoscenza della lingua italiana (livello B2)</w:t>
      </w:r>
      <w:r>
        <w:rPr>
          <w:rFonts w:ascii="Times New Roman" w:hAnsi="Times New Roman" w:cs="Times New Roman"/>
          <w:color w:val="auto"/>
        </w:rPr>
        <w:t xml:space="preserve"> </w:t>
      </w:r>
      <w:r w:rsidRPr="00336D04">
        <w:rPr>
          <w:rFonts w:ascii="Times New Roman" w:hAnsi="Times New Roman" w:cs="Times New Roman"/>
          <w:color w:val="auto"/>
        </w:rPr>
        <w:t>consistente in un test organizzato da</w:t>
      </w:r>
      <w:r>
        <w:rPr>
          <w:rFonts w:ascii="Times New Roman" w:hAnsi="Times New Roman" w:cs="Times New Roman"/>
          <w:color w:val="auto"/>
        </w:rPr>
        <w:t>l</w:t>
      </w:r>
      <w:r w:rsidRPr="00336D04">
        <w:rPr>
          <w:rFonts w:ascii="Times New Roman" w:hAnsi="Times New Roman" w:cs="Times New Roman"/>
          <w:color w:val="auto"/>
        </w:rPr>
        <w:t xml:space="preserve"> CLAT (https://clat.unige.it/italianoperstranieri). </w:t>
      </w:r>
    </w:p>
    <w:p w14:paraId="187A51A4"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Coloro che hanno conseguito la laurea triennale (o altro titolo equipollente) </w:t>
      </w:r>
      <w:r>
        <w:rPr>
          <w:rFonts w:ascii="Times New Roman" w:hAnsi="Times New Roman" w:cs="Times New Roman"/>
          <w:color w:val="auto"/>
        </w:rPr>
        <w:t>in qualsiasi classe</w:t>
      </w:r>
      <w:r w:rsidRPr="000B448E">
        <w:rPr>
          <w:rFonts w:ascii="Times New Roman" w:hAnsi="Times New Roman" w:cs="Times New Roman"/>
          <w:color w:val="auto"/>
        </w:rPr>
        <w:t xml:space="preserve"> potranno accedere alla verifica dell’adeguatezza della personale preparazione se nel loro percorso di studio precedente hanno acquisito almeno 57 </w:t>
      </w:r>
      <w:r w:rsidRPr="000B448E">
        <w:rPr>
          <w:rFonts w:ascii="Times New Roman" w:hAnsi="Times New Roman" w:cs="Times New Roman"/>
          <w:caps/>
          <w:color w:val="auto"/>
        </w:rPr>
        <w:t>CFU</w:t>
      </w:r>
      <w:r w:rsidRPr="000B448E">
        <w:rPr>
          <w:rFonts w:ascii="Times New Roman" w:hAnsi="Times New Roman" w:cs="Times New Roman"/>
          <w:color w:val="auto"/>
        </w:rPr>
        <w:t xml:space="preserve"> così distribuiti:</w:t>
      </w:r>
    </w:p>
    <w:p w14:paraId="279AC4EA"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6 CFU nel SSD MAT/09</w:t>
      </w:r>
    </w:p>
    <w:p w14:paraId="778111A8"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6 CFU nel SSD IUS/06</w:t>
      </w:r>
    </w:p>
    <w:p w14:paraId="2D8F5344"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6 CFU nel SSD SECS-P/06</w:t>
      </w:r>
    </w:p>
    <w:p w14:paraId="6E7A2DA5"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6 CFU tra i SSD IUS/01, IUS/04, IUS/09, IUS/10</w:t>
      </w:r>
    </w:p>
    <w:p w14:paraId="6035F9E4"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6 CFU tra i SSD SECS-P/01 e SECS-P/02</w:t>
      </w:r>
    </w:p>
    <w:p w14:paraId="11C08FD9" w14:textId="77777777" w:rsidR="0051282D" w:rsidRPr="000B448E"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rPr>
      </w:pPr>
      <w:r w:rsidRPr="000B448E">
        <w:rPr>
          <w:rFonts w:ascii="Times New Roman" w:hAnsi="Times New Roman" w:cs="Times New Roman"/>
          <w:sz w:val="24"/>
          <w:szCs w:val="24"/>
        </w:rPr>
        <w:t>almeno 18 CFU tra i SSD SECS-P/07, SECS-P/08 e SECS-P/10, di cui almeno 6 CFU di SECS-P/07 e almeno 6 CFU di SECS-P/08</w:t>
      </w:r>
    </w:p>
    <w:p w14:paraId="235B4084" w14:textId="77777777" w:rsidR="0051282D" w:rsidRPr="00B42A81" w:rsidRDefault="0051282D" w:rsidP="0051282D">
      <w:pPr>
        <w:pStyle w:val="Paragrafoelenco"/>
        <w:numPr>
          <w:ilvl w:val="0"/>
          <w:numId w:val="5"/>
        </w:numPr>
        <w:tabs>
          <w:tab w:val="left" w:pos="221"/>
        </w:tabs>
        <w:spacing w:after="0" w:line="240" w:lineRule="auto"/>
        <w:jc w:val="both"/>
        <w:rPr>
          <w:rFonts w:ascii="Times New Roman" w:hAnsi="Times New Roman" w:cs="Times New Roman"/>
          <w:sz w:val="24"/>
          <w:szCs w:val="24"/>
          <w:lang w:val="en-GB"/>
        </w:rPr>
      </w:pPr>
      <w:r w:rsidRPr="00FF43A4">
        <w:rPr>
          <w:rFonts w:ascii="Times New Roman" w:hAnsi="Times New Roman" w:cs="Times New Roman"/>
          <w:sz w:val="24"/>
          <w:szCs w:val="24"/>
          <w:lang w:val="en-GB"/>
        </w:rPr>
        <w:lastRenderedPageBreak/>
        <w:t>almeno 9 CFU tra i SSD SECS-S/01, SECS-S/03, MAT/06, SECS-S/06, MAT/01-05.</w:t>
      </w:r>
    </w:p>
    <w:p w14:paraId="7EC6C2C5" w14:textId="77777777" w:rsidR="0051282D" w:rsidRPr="009F09ED" w:rsidRDefault="0051282D" w:rsidP="0051282D">
      <w:pPr>
        <w:tabs>
          <w:tab w:val="left" w:pos="0"/>
        </w:tabs>
        <w:spacing w:after="0" w:line="240" w:lineRule="auto"/>
        <w:ind w:firstLine="284"/>
        <w:jc w:val="both"/>
        <w:rPr>
          <w:rFonts w:ascii="Times New Roman" w:hAnsi="Times New Roman" w:cs="Times New Roman"/>
          <w:sz w:val="24"/>
          <w:szCs w:val="24"/>
        </w:rPr>
      </w:pPr>
      <w:r w:rsidRPr="009F09ED">
        <w:rPr>
          <w:rFonts w:ascii="Times New Roman" w:hAnsi="Times New Roman" w:cs="Times New Roman"/>
          <w:sz w:val="24"/>
          <w:szCs w:val="24"/>
        </w:rPr>
        <w:t>Rispettano suddetti requisiti e quindi possono accedere direttamente alla verifica dell’adeguatezza della personale preparazione i laureati triennali in “Economia delle aziende marittime, della logistica e dei trasporti”, classe L-18, dell’Università degli Studi di Genova.</w:t>
      </w:r>
    </w:p>
    <w:p w14:paraId="2A2AEFF6" w14:textId="77777777" w:rsidR="0051282D" w:rsidRDefault="0051282D" w:rsidP="0051282D">
      <w:pPr>
        <w:pStyle w:val="Default"/>
        <w:ind w:firstLine="284"/>
        <w:jc w:val="both"/>
      </w:pPr>
      <w:r w:rsidRPr="00ED2EC0">
        <w:rPr>
          <w:rFonts w:ascii="Times New Roman" w:hAnsi="Times New Roman" w:cs="Times New Roman"/>
        </w:rPr>
        <w:t xml:space="preserve">Se nella verifica dei requisiti curriculari si dovesse riscontrare una mancanza di CFU nei SSD </w:t>
      </w:r>
      <w:r w:rsidRPr="00ED2EC0">
        <w:rPr>
          <w:rFonts w:ascii="Times New Roman" w:hAnsi="Times New Roman" w:cs="Times New Roman"/>
          <w:color w:val="auto"/>
        </w:rPr>
        <w:t xml:space="preserve">sopra elencati </w:t>
      </w:r>
      <w:r w:rsidRPr="00ED2EC0">
        <w:rPr>
          <w:rFonts w:ascii="Times New Roman" w:hAnsi="Times New Roman" w:cs="Times New Roman"/>
        </w:rPr>
        <w:t xml:space="preserve">il nulla osta del Consiglio del Corso di Studi (di seguito CCS EMMP) non sarà rilasciato, a meno che, previo accertamento caso per caso dei contenuti degli esami sostenuti, risultino acquisite le competenze necessarie anche in SSD diversi da quelli sopra indicati. </w:t>
      </w:r>
    </w:p>
    <w:p w14:paraId="4C447587" w14:textId="77777777" w:rsidR="0051282D" w:rsidRPr="00D641E2" w:rsidRDefault="0051282D" w:rsidP="0051282D">
      <w:pPr>
        <w:spacing w:after="0" w:line="240" w:lineRule="auto"/>
        <w:ind w:firstLine="284"/>
        <w:jc w:val="both"/>
        <w:rPr>
          <w:rFonts w:ascii="Times New Roman" w:hAnsi="Times New Roman" w:cs="Times New Roman"/>
          <w:sz w:val="24"/>
          <w:szCs w:val="24"/>
        </w:rPr>
      </w:pPr>
      <w:r w:rsidRPr="00D641E2">
        <w:rPr>
          <w:rFonts w:ascii="Times New Roman" w:hAnsi="Times New Roman" w:cs="Times New Roman"/>
          <w:sz w:val="24"/>
          <w:szCs w:val="24"/>
        </w:rPr>
        <w:t xml:space="preserve">Le istanze di ammissione al CdS EMMP da parte di iscritti ad altri corsi di LM saranno verificate in funzione dell’accertamento del possesso dei requisiti curriculari sopra elencati. Tale verifica sarà effettuata tenendo conto anche di eventuali </w:t>
      </w:r>
      <w:r w:rsidRPr="00D641E2">
        <w:rPr>
          <w:rFonts w:ascii="Times New Roman" w:hAnsi="Times New Roman" w:cs="Times New Roman"/>
          <w:caps/>
          <w:sz w:val="24"/>
          <w:szCs w:val="24"/>
        </w:rPr>
        <w:t>cfu</w:t>
      </w:r>
      <w:r w:rsidRPr="00D641E2">
        <w:rPr>
          <w:rFonts w:ascii="Times New Roman" w:hAnsi="Times New Roman" w:cs="Times New Roman"/>
          <w:sz w:val="24"/>
          <w:szCs w:val="24"/>
        </w:rPr>
        <w:t xml:space="preserve"> conseguiti nella carriera della LM di provenienza. In tal caso i </w:t>
      </w:r>
      <w:r w:rsidRPr="00D641E2">
        <w:rPr>
          <w:rFonts w:ascii="Times New Roman" w:hAnsi="Times New Roman" w:cs="Times New Roman"/>
          <w:caps/>
          <w:sz w:val="24"/>
          <w:szCs w:val="24"/>
        </w:rPr>
        <w:t>cfu</w:t>
      </w:r>
      <w:r w:rsidRPr="00D641E2">
        <w:rPr>
          <w:rFonts w:ascii="Times New Roman" w:hAnsi="Times New Roman" w:cs="Times New Roman"/>
          <w:sz w:val="24"/>
          <w:szCs w:val="24"/>
        </w:rPr>
        <w:t xml:space="preserve"> validati per l’ammissione al CdS EMMP non potranno essere riconosciuti come già acquisiti a valere sul piano di studi EMMP.</w:t>
      </w:r>
    </w:p>
    <w:p w14:paraId="795D889E" w14:textId="77777777" w:rsidR="0051282D"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Gli studenti che non soddisfano i requisiti curriculari previsti potranno acquisire i CFU mancanti attraverso iscrizione a singole attività formative (ai sensi dell’art. </w:t>
      </w:r>
      <w:r>
        <w:rPr>
          <w:rFonts w:ascii="Times New Roman" w:hAnsi="Times New Roman" w:cs="Times New Roman"/>
          <w:color w:val="auto"/>
        </w:rPr>
        <w:t>5</w:t>
      </w:r>
      <w:r w:rsidRPr="000B448E">
        <w:rPr>
          <w:rFonts w:ascii="Times New Roman" w:hAnsi="Times New Roman" w:cs="Times New Roman"/>
          <w:color w:val="auto"/>
        </w:rPr>
        <w:t xml:space="preserve"> del Regolamento di Ateneo per gli studenti). </w:t>
      </w:r>
    </w:p>
    <w:p w14:paraId="144F07AB" w14:textId="77777777" w:rsidR="0051282D" w:rsidRPr="0022401D" w:rsidRDefault="0051282D" w:rsidP="0051282D">
      <w:pPr>
        <w:spacing w:after="0" w:line="240" w:lineRule="auto"/>
        <w:ind w:firstLine="284"/>
        <w:jc w:val="both"/>
        <w:rPr>
          <w:rStyle w:val="markedcontent"/>
          <w:rFonts w:ascii="Times New Roman" w:hAnsi="Times New Roman" w:cs="Times New Roman"/>
          <w:sz w:val="24"/>
          <w:szCs w:val="24"/>
        </w:rPr>
      </w:pPr>
      <w:r w:rsidRPr="0022401D">
        <w:rPr>
          <w:rFonts w:ascii="Times New Roman" w:hAnsi="Times New Roman" w:cs="Times New Roman"/>
          <w:sz w:val="24"/>
          <w:szCs w:val="24"/>
        </w:rPr>
        <w:t xml:space="preserve">Sono inoltre considerati requisiti d’accesso un’adeguata conoscenza della lingua inglese (almeno ad un livello B1), nella comprensione e comunicazione orale e scritta, oltre alla capacità di uso degli strumenti e software informatici per applicazioni economiche e aziendali. </w:t>
      </w:r>
      <w:r w:rsidRPr="0022401D">
        <w:rPr>
          <w:rStyle w:val="markedcontent"/>
          <w:rFonts w:ascii="Times New Roman" w:hAnsi="Times New Roman" w:cs="Times New Roman"/>
          <w:sz w:val="24"/>
          <w:szCs w:val="24"/>
        </w:rPr>
        <w:t xml:space="preserve">Coloro che non sono in grado di </w:t>
      </w:r>
      <w:r>
        <w:rPr>
          <w:rStyle w:val="markedcontent"/>
          <w:rFonts w:ascii="Times New Roman" w:hAnsi="Times New Roman" w:cs="Times New Roman"/>
          <w:sz w:val="24"/>
          <w:szCs w:val="24"/>
        </w:rPr>
        <w:t xml:space="preserve">attestare o di </w:t>
      </w:r>
      <w:r w:rsidRPr="0022401D">
        <w:rPr>
          <w:rStyle w:val="markedcontent"/>
          <w:rFonts w:ascii="Times New Roman" w:hAnsi="Times New Roman" w:cs="Times New Roman"/>
          <w:sz w:val="24"/>
          <w:szCs w:val="24"/>
        </w:rPr>
        <w:t>certificare un livello di conoscenza della Lingua inglese almeno di livello B1 potranno recuperare il debito formativo attraverso l’iscrizione all’insegnamento di lingua inglese previsto nel piano di studi dei corsi di laurea triennali del Dipartimento di Economia ed attraverso il superamento del relativo esame.</w:t>
      </w:r>
      <w:r>
        <w:rPr>
          <w:rStyle w:val="markedcontent"/>
          <w:rFonts w:ascii="Times New Roman" w:hAnsi="Times New Roman" w:cs="Times New Roman"/>
          <w:sz w:val="24"/>
          <w:szCs w:val="24"/>
        </w:rPr>
        <w:t xml:space="preserve"> </w:t>
      </w:r>
      <w:r w:rsidRPr="0022401D">
        <w:rPr>
          <w:rStyle w:val="markedcontent"/>
          <w:rFonts w:ascii="Times New Roman" w:hAnsi="Times New Roman" w:cs="Times New Roman"/>
          <w:sz w:val="24"/>
          <w:szCs w:val="24"/>
        </w:rPr>
        <w:t>La capacità di utilizzo degli strumenti e software informatici per applicazioni economiche ed aziendali viene considerata acquisita se nel corso del piano di studi della laurea triennale è stato sostenuto un esame di “idoneità informatica”, o equivalente, oppure certificato da ICDL o equivalente. Coloro che non posseggono le competenze informatiche richieste potranno acquisirle attraverso l’iscrizione all’attività formativa di informatica prevista nel piano di studio dei corsi di laurea triennali del Dipartimento di Economia ed attraverso il superamento del relativo esame.</w:t>
      </w:r>
    </w:p>
    <w:p w14:paraId="36E5DEBF" w14:textId="77777777" w:rsidR="0051282D" w:rsidRPr="000B448E" w:rsidRDefault="0051282D" w:rsidP="0051282D">
      <w:pPr>
        <w:pStyle w:val="Default"/>
        <w:ind w:firstLine="284"/>
        <w:jc w:val="both"/>
        <w:rPr>
          <w:rFonts w:ascii="Times New Roman" w:hAnsi="Times New Roman" w:cs="Times New Roman"/>
          <w:color w:val="auto"/>
        </w:rPr>
      </w:pPr>
      <w:r>
        <w:rPr>
          <w:rFonts w:ascii="Times New Roman" w:hAnsi="Times New Roman" w:cs="Times New Roman"/>
          <w:color w:val="auto"/>
        </w:rPr>
        <w:t>P</w:t>
      </w:r>
      <w:r w:rsidRPr="000B448E">
        <w:rPr>
          <w:rFonts w:ascii="Times New Roman" w:hAnsi="Times New Roman" w:cs="Times New Roman"/>
          <w:color w:val="auto"/>
        </w:rPr>
        <w:t xml:space="preserve">ossono presentare domanda di valutazione dei requisiti curriculari anche i laureandi, purché in debito del solo esame di Laurea. </w:t>
      </w:r>
    </w:p>
    <w:p w14:paraId="2B9F24FF" w14:textId="77777777" w:rsidR="0051282D" w:rsidRDefault="0051282D" w:rsidP="0051282D">
      <w:pPr>
        <w:pStyle w:val="Default"/>
        <w:ind w:firstLine="284"/>
        <w:jc w:val="both"/>
        <w:rPr>
          <w:rFonts w:ascii="Times New Roman" w:hAnsi="Times New Roman" w:cs="Times New Roman"/>
          <w:color w:val="auto"/>
        </w:rPr>
      </w:pPr>
      <w:r w:rsidRPr="00AB3E05">
        <w:rPr>
          <w:rFonts w:ascii="Times New Roman" w:hAnsi="Times New Roman" w:cs="Times New Roman"/>
          <w:color w:val="auto"/>
        </w:rPr>
        <w:t xml:space="preserve">La valutazione del possesso dei requisiti curriculari deve essere effettuata precedentemente alla verifica dell’adeguatezza della personale preparazione e deve essere richiesta mediante compilazione di apposita domanda da inviare allo Sportello Studenti alla e.mail </w:t>
      </w:r>
      <w:hyperlink r:id="rId8" w:history="1">
        <w:r w:rsidRPr="00AB3E05">
          <w:rPr>
            <w:rStyle w:val="Collegamentoipertestuale"/>
            <w:rFonts w:ascii="Times New Roman" w:hAnsi="Times New Roman" w:cs="Times New Roman"/>
            <w:shd w:val="clear" w:color="auto" w:fill="FFFFFF"/>
          </w:rPr>
          <w:t>valutazionedeirequisiti@economia.unige.it</w:t>
        </w:r>
      </w:hyperlink>
      <w:r w:rsidRPr="00AB3E05">
        <w:rPr>
          <w:rFonts w:ascii="Times New Roman" w:hAnsi="Times New Roman" w:cs="Times New Roman"/>
        </w:rPr>
        <w:t>.</w:t>
      </w:r>
      <w:r>
        <w:rPr>
          <w:rFonts w:ascii="Arial Narrow" w:hAnsi="Arial Narrow"/>
          <w:sz w:val="22"/>
          <w:szCs w:val="22"/>
        </w:rPr>
        <w:t xml:space="preserve"> </w:t>
      </w:r>
      <w:r w:rsidRPr="000B448E">
        <w:rPr>
          <w:rFonts w:ascii="Times New Roman" w:hAnsi="Times New Roman" w:cs="Times New Roman"/>
          <w:color w:val="auto"/>
        </w:rPr>
        <w:t xml:space="preserve"> </w:t>
      </w:r>
    </w:p>
    <w:p w14:paraId="135B1BCA" w14:textId="77777777" w:rsidR="0051282D" w:rsidRPr="000B448E" w:rsidRDefault="0051282D" w:rsidP="0051282D">
      <w:pPr>
        <w:pStyle w:val="Default"/>
        <w:spacing w:before="120" w:after="120"/>
        <w:jc w:val="both"/>
        <w:rPr>
          <w:rFonts w:ascii="Times New Roman" w:hAnsi="Times New Roman" w:cs="Times New Roman"/>
          <w:b/>
          <w:bCs/>
          <w:color w:val="auto"/>
        </w:rPr>
      </w:pPr>
      <w:r w:rsidRPr="000B448E">
        <w:rPr>
          <w:rFonts w:ascii="Times New Roman" w:hAnsi="Times New Roman" w:cs="Times New Roman"/>
          <w:b/>
          <w:bCs/>
          <w:color w:val="auto"/>
        </w:rPr>
        <w:t>b) l’adeguatezza della personale preparazione</w:t>
      </w:r>
    </w:p>
    <w:p w14:paraId="2945BCFF" w14:textId="77777777" w:rsidR="0051282D"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Per l’ammissione al Corso di studio</w:t>
      </w:r>
      <w:r>
        <w:rPr>
          <w:rFonts w:ascii="Times New Roman" w:hAnsi="Times New Roman" w:cs="Times New Roman"/>
          <w:color w:val="auto"/>
        </w:rPr>
        <w:t>,</w:t>
      </w:r>
      <w:r w:rsidRPr="000B448E">
        <w:rPr>
          <w:rFonts w:ascii="Times New Roman" w:hAnsi="Times New Roman" w:cs="Times New Roman"/>
          <w:color w:val="auto"/>
        </w:rPr>
        <w:t xml:space="preserve"> il CCS EMMP, al fine di attestare l’adeguatezza della personale preparazione, prevede un test, organizzato da apposita Commissione, volto ad accertare la presenza delle conoscenze fondamentali per la prosecuzione nel Corso di studio magistrale. </w:t>
      </w:r>
    </w:p>
    <w:p w14:paraId="73704758" w14:textId="77777777" w:rsidR="0051282D"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Maggiori informazioni sono rese disponibili sul sito web del Dipartimento e del Corso di laurea.</w:t>
      </w:r>
    </w:p>
    <w:p w14:paraId="356DEA77" w14:textId="77777777" w:rsidR="0051282D"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La Commissione è composta da Docenti del </w:t>
      </w:r>
      <w:r w:rsidRPr="00761F42">
        <w:rPr>
          <w:rFonts w:ascii="Times New Roman" w:hAnsi="Times New Roman" w:cs="Times New Roman"/>
          <w:color w:val="auto"/>
        </w:rPr>
        <w:t xml:space="preserve">Dipartimento </w:t>
      </w:r>
      <w:r w:rsidRPr="000B448E">
        <w:rPr>
          <w:rFonts w:ascii="Times New Roman" w:hAnsi="Times New Roman" w:cs="Times New Roman"/>
          <w:color w:val="auto"/>
        </w:rPr>
        <w:t xml:space="preserve">e nominata dal CCS EMMP e dichiarerà non idoneo chi non avrà superato il test con un voto pari ad almeno 18/30. </w:t>
      </w:r>
    </w:p>
    <w:p w14:paraId="54C8957F"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eastAsia="Times New Roman" w:hAnsi="Times New Roman" w:cs="Times New Roman"/>
          <w:color w:val="auto"/>
          <w:lang w:eastAsia="it-IT"/>
        </w:rPr>
        <w:t>La non-idoneità preclude l</w:t>
      </w:r>
      <w:r>
        <w:rPr>
          <w:rFonts w:ascii="Times New Roman" w:eastAsia="Times New Roman" w:hAnsi="Times New Roman" w:cs="Times New Roman"/>
          <w:color w:val="auto"/>
          <w:lang w:eastAsia="it-IT"/>
        </w:rPr>
        <w:t>’</w:t>
      </w:r>
      <w:r w:rsidRPr="000B448E">
        <w:rPr>
          <w:rFonts w:ascii="Times New Roman" w:eastAsia="Times New Roman" w:hAnsi="Times New Roman" w:cs="Times New Roman"/>
          <w:color w:val="auto"/>
          <w:lang w:eastAsia="it-IT"/>
        </w:rPr>
        <w:t xml:space="preserve">iscrizione al </w:t>
      </w:r>
      <w:r w:rsidRPr="000B448E">
        <w:rPr>
          <w:rFonts w:ascii="Times New Roman" w:eastAsia="Times New Roman" w:hAnsi="Times New Roman" w:cs="Times New Roman"/>
          <w:caps/>
          <w:color w:val="auto"/>
          <w:lang w:eastAsia="it-IT"/>
        </w:rPr>
        <w:t>c</w:t>
      </w:r>
      <w:r w:rsidRPr="000B448E">
        <w:rPr>
          <w:rFonts w:ascii="Times New Roman" w:eastAsia="Times New Roman" w:hAnsi="Times New Roman" w:cs="Times New Roman"/>
          <w:color w:val="auto"/>
          <w:lang w:eastAsia="it-IT"/>
        </w:rPr>
        <w:t>orso e lo studente potrà ripetere la verifica fino al conseguimento dell</w:t>
      </w:r>
      <w:r>
        <w:rPr>
          <w:rFonts w:ascii="Times New Roman" w:eastAsia="Times New Roman" w:hAnsi="Times New Roman" w:cs="Times New Roman"/>
          <w:color w:val="auto"/>
          <w:lang w:eastAsia="it-IT"/>
        </w:rPr>
        <w:t>’</w:t>
      </w:r>
      <w:r w:rsidRPr="000B448E">
        <w:rPr>
          <w:rFonts w:ascii="Times New Roman" w:eastAsia="Times New Roman" w:hAnsi="Times New Roman" w:cs="Times New Roman"/>
          <w:color w:val="auto"/>
          <w:lang w:eastAsia="it-IT"/>
        </w:rPr>
        <w:t>idoneità stessa.</w:t>
      </w:r>
    </w:p>
    <w:p w14:paraId="2E1C00CE" w14:textId="77777777" w:rsidR="0051282D" w:rsidRPr="000B448E" w:rsidRDefault="0051282D" w:rsidP="0051282D">
      <w:pPr>
        <w:pStyle w:val="Default"/>
        <w:ind w:firstLine="284"/>
        <w:jc w:val="both"/>
        <w:rPr>
          <w:rFonts w:ascii="Times New Roman" w:eastAsia="Times New Roman" w:hAnsi="Times New Roman" w:cs="Times New Roman"/>
          <w:color w:val="auto"/>
          <w:lang w:eastAsia="it-IT"/>
        </w:rPr>
      </w:pPr>
      <w:r w:rsidRPr="000B448E">
        <w:rPr>
          <w:rFonts w:ascii="Times New Roman" w:eastAsia="Times New Roman" w:hAnsi="Times New Roman" w:cs="Times New Roman"/>
          <w:color w:val="auto"/>
          <w:lang w:eastAsia="it-IT"/>
        </w:rPr>
        <w:t xml:space="preserve">Per sostenere il test è necessario essere preimmatricolati al CdS EMMP. </w:t>
      </w:r>
    </w:p>
    <w:p w14:paraId="0357A63F" w14:textId="77777777" w:rsidR="0051282D" w:rsidRPr="003512A4" w:rsidRDefault="0051282D" w:rsidP="0051282D">
      <w:pPr>
        <w:pStyle w:val="Default"/>
        <w:ind w:firstLine="284"/>
        <w:jc w:val="both"/>
        <w:rPr>
          <w:rFonts w:ascii="Times New Roman" w:hAnsi="Times New Roman" w:cs="Times New Roman"/>
          <w:color w:val="auto"/>
        </w:rPr>
      </w:pPr>
      <w:r w:rsidRPr="003512A4">
        <w:rPr>
          <w:rFonts w:ascii="Times New Roman" w:hAnsi="Times New Roman" w:cs="Times New Roman"/>
          <w:color w:val="auto"/>
        </w:rPr>
        <w:lastRenderedPageBreak/>
        <w:t xml:space="preserve">Tutti gli studenti che abbiano conseguito una </w:t>
      </w:r>
      <w:r w:rsidRPr="003A57AD">
        <w:rPr>
          <w:rFonts w:ascii="Times New Roman" w:hAnsi="Times New Roman" w:cs="Times New Roman"/>
          <w:color w:val="auto"/>
        </w:rPr>
        <w:t xml:space="preserve">votazione di laurea </w:t>
      </w:r>
      <w:r w:rsidRPr="00925156">
        <w:rPr>
          <w:rFonts w:ascii="Times New Roman" w:hAnsi="Times New Roman" w:cs="Times New Roman"/>
          <w:color w:val="auto"/>
        </w:rPr>
        <w:t>triennale</w:t>
      </w:r>
      <w:r w:rsidRPr="0040145F">
        <w:rPr>
          <w:rFonts w:ascii="Times New Roman" w:hAnsi="Times New Roman" w:cs="Times New Roman"/>
          <w:color w:val="auto"/>
        </w:rPr>
        <w:t xml:space="preserve"> </w:t>
      </w:r>
      <w:r w:rsidRPr="003512A4">
        <w:rPr>
          <w:rFonts w:ascii="Times New Roman" w:hAnsi="Times New Roman" w:cs="Times New Roman"/>
          <w:color w:val="auto"/>
        </w:rPr>
        <w:t xml:space="preserve">di almeno 99/110 sono esentati dal sostenere la prova di adeguatezza della personale preparazione. </w:t>
      </w:r>
    </w:p>
    <w:p w14:paraId="54917655" w14:textId="77777777" w:rsidR="0051282D" w:rsidRPr="003460F7" w:rsidRDefault="0051282D" w:rsidP="0051282D">
      <w:pPr>
        <w:spacing w:after="0" w:line="240" w:lineRule="auto"/>
        <w:ind w:firstLine="284"/>
        <w:jc w:val="both"/>
        <w:rPr>
          <w:rFonts w:ascii="Times New Roman" w:eastAsia="Times New Roman" w:hAnsi="Times New Roman" w:cs="Times New Roman"/>
          <w:sz w:val="24"/>
          <w:szCs w:val="24"/>
          <w:lang w:eastAsia="it-IT"/>
        </w:rPr>
      </w:pPr>
      <w:r w:rsidRPr="003460F7">
        <w:rPr>
          <w:rFonts w:ascii="Times New Roman" w:eastAsia="Times New Roman" w:hAnsi="Times New Roman" w:cs="Times New Roman"/>
          <w:sz w:val="24"/>
          <w:szCs w:val="24"/>
          <w:lang w:eastAsia="it-IT"/>
        </w:rPr>
        <w:t>Gli studenti con titolo di studio conseguito all’estero devono obbligatoriamente:</w:t>
      </w:r>
    </w:p>
    <w:p w14:paraId="6B75849A" w14:textId="77777777" w:rsidR="0051282D" w:rsidRPr="000B448E" w:rsidRDefault="0051282D" w:rsidP="0051282D">
      <w:pPr>
        <w:pStyle w:val="Paragrafoelenco"/>
        <w:spacing w:after="0" w:line="240" w:lineRule="auto"/>
        <w:ind w:left="993" w:hanging="27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0B448E">
        <w:rPr>
          <w:rFonts w:ascii="Times New Roman" w:eastAsia="Times New Roman" w:hAnsi="Times New Roman" w:cs="Times New Roman"/>
          <w:sz w:val="24"/>
          <w:szCs w:val="24"/>
          <w:lang w:eastAsia="it-IT"/>
        </w:rPr>
        <w:t>) sostenere il test di verifica della preparazione individuale organizzato dal CCS EMMP (se non esonerabili per voto di laurea);</w:t>
      </w:r>
    </w:p>
    <w:p w14:paraId="166CED1A" w14:textId="77777777" w:rsidR="0051282D" w:rsidRPr="000B448E" w:rsidRDefault="0051282D" w:rsidP="0051282D">
      <w:pPr>
        <w:pStyle w:val="Paragrafoelenco"/>
        <w:spacing w:after="0" w:line="240" w:lineRule="auto"/>
        <w:ind w:left="993"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Pr="000B448E">
        <w:rPr>
          <w:rFonts w:ascii="Times New Roman" w:eastAsia="Times New Roman" w:hAnsi="Times New Roman" w:cs="Times New Roman"/>
          <w:sz w:val="24"/>
          <w:szCs w:val="24"/>
          <w:lang w:eastAsia="it-IT"/>
        </w:rPr>
        <w:t>) sostenere la prova di verifica della conoscenza della lingua italiana organizzata dall</w:t>
      </w:r>
      <w:r>
        <w:rPr>
          <w:rFonts w:ascii="Times New Roman" w:eastAsia="Times New Roman" w:hAnsi="Times New Roman" w:cs="Times New Roman"/>
          <w:sz w:val="24"/>
          <w:szCs w:val="24"/>
          <w:lang w:eastAsia="it-IT"/>
        </w:rPr>
        <w:t>’</w:t>
      </w:r>
      <w:r w:rsidRPr="000B448E">
        <w:rPr>
          <w:rFonts w:ascii="Times New Roman" w:eastAsia="Times New Roman" w:hAnsi="Times New Roman" w:cs="Times New Roman"/>
          <w:sz w:val="24"/>
          <w:szCs w:val="24"/>
          <w:lang w:eastAsia="it-IT"/>
        </w:rPr>
        <w:t>Ateneo.</w:t>
      </w:r>
      <w:r>
        <w:rPr>
          <w:rFonts w:ascii="Times New Roman" w:eastAsia="Times New Roman" w:hAnsi="Times New Roman" w:cs="Times New Roman"/>
          <w:sz w:val="24"/>
          <w:szCs w:val="24"/>
          <w:lang w:eastAsia="it-IT"/>
        </w:rPr>
        <w:t xml:space="preserve"> </w:t>
      </w:r>
      <w:r w:rsidRPr="000B448E">
        <w:rPr>
          <w:rFonts w:ascii="Times New Roman" w:eastAsia="Times New Roman" w:hAnsi="Times New Roman" w:cs="Times New Roman"/>
          <w:sz w:val="24"/>
          <w:szCs w:val="24"/>
          <w:lang w:eastAsia="it-IT"/>
        </w:rPr>
        <w:t xml:space="preserve">Il mancato superamento della prova comporta l’attribuzione di attività formative integrative proposte dall’Ateneo. </w:t>
      </w:r>
    </w:p>
    <w:p w14:paraId="6BD0BA50" w14:textId="77777777" w:rsidR="0051282D" w:rsidRPr="003460F7" w:rsidRDefault="0051282D" w:rsidP="0051282D">
      <w:pPr>
        <w:spacing w:after="0" w:line="240" w:lineRule="auto"/>
        <w:ind w:firstLine="284"/>
        <w:jc w:val="both"/>
        <w:rPr>
          <w:rFonts w:ascii="Times New Roman" w:eastAsia="Times New Roman" w:hAnsi="Times New Roman" w:cs="Times New Roman"/>
          <w:sz w:val="24"/>
          <w:szCs w:val="24"/>
          <w:lang w:eastAsia="it-IT"/>
        </w:rPr>
      </w:pPr>
      <w:r w:rsidRPr="003460F7">
        <w:rPr>
          <w:rFonts w:ascii="Times New Roman" w:eastAsia="Times New Roman" w:hAnsi="Times New Roman" w:cs="Times New Roman"/>
          <w:sz w:val="24"/>
          <w:szCs w:val="24"/>
          <w:lang w:eastAsia="it-IT"/>
        </w:rPr>
        <w:t>Gli studenti con disabilità e DSA svolgono la prova prevista con l’uso degli ausili loro necessari come disposto dall’art. 7 del presente Regolamento.</w:t>
      </w:r>
    </w:p>
    <w:p w14:paraId="41886DEC" w14:textId="77777777" w:rsidR="0051282D" w:rsidRDefault="0051282D" w:rsidP="0051282D">
      <w:pPr>
        <w:pStyle w:val="Paragrafoelenco"/>
        <w:spacing w:after="0" w:line="240" w:lineRule="auto"/>
        <w:jc w:val="both"/>
        <w:rPr>
          <w:rFonts w:ascii="Times New Roman" w:eastAsia="Times New Roman" w:hAnsi="Times New Roman" w:cs="Times New Roman"/>
          <w:sz w:val="24"/>
          <w:szCs w:val="24"/>
          <w:lang w:eastAsia="it-IT"/>
        </w:rPr>
      </w:pPr>
    </w:p>
    <w:p w14:paraId="29EDCF14" w14:textId="77777777" w:rsidR="0051282D" w:rsidRPr="000B448E" w:rsidRDefault="0051282D" w:rsidP="0051282D">
      <w:pPr>
        <w:pStyle w:val="Default"/>
        <w:spacing w:after="120"/>
        <w:jc w:val="both"/>
        <w:rPr>
          <w:rFonts w:ascii="Times New Roman" w:hAnsi="Times New Roman" w:cs="Times New Roman"/>
          <w:color w:val="auto"/>
        </w:rPr>
      </w:pPr>
      <w:r w:rsidRPr="000B448E">
        <w:rPr>
          <w:rFonts w:ascii="Times New Roman" w:hAnsi="Times New Roman" w:cs="Times New Roman"/>
          <w:b/>
          <w:bCs/>
          <w:color w:val="auto"/>
        </w:rPr>
        <w:t xml:space="preserve">Art. 3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Attività formative</w:t>
      </w:r>
    </w:p>
    <w:p w14:paraId="232DEBAA"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Le attività formative comprendono: insegnamenti (lezioni frontali ed esercitazioni), attività laboratoriali, attività integrative alla didattica, seminari, conferenze, tirocini. </w:t>
      </w:r>
    </w:p>
    <w:p w14:paraId="33B6917B"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Gli insegnamenti saranno impartiti in lingua italiana o straniera, come meglio specificato nella parte speciale del presente Regolamento. </w:t>
      </w:r>
    </w:p>
    <w:p w14:paraId="7DF7E26A"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L’offerta didattica, l’elenco degli insegnamenti attivabili e delle altre attività formative con l’indicazione dei corrispondenti CFU, l’articolazione in moduli e la durata in ore vengono riportati nell’apposito allegato. </w:t>
      </w:r>
    </w:p>
    <w:p w14:paraId="29B5E855" w14:textId="77777777" w:rsidR="0051282D" w:rsidRPr="00690344"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Ove l’iscrizione dovesse </w:t>
      </w:r>
      <w:r w:rsidRPr="00690344">
        <w:rPr>
          <w:rFonts w:ascii="Times New Roman" w:hAnsi="Times New Roman" w:cs="Times New Roman"/>
          <w:color w:val="auto"/>
        </w:rPr>
        <w:t>prolungarsi oltre il termine previsto, nel caso di soppressione di singoli insegnamenti, gli studenti saranno indirizzati dal CCS EMMP per sostenere gli esami mancanti.</w:t>
      </w:r>
    </w:p>
    <w:p w14:paraId="429EC70A" w14:textId="77777777" w:rsidR="0051282D" w:rsidRPr="00690344" w:rsidRDefault="0051282D" w:rsidP="0051282D">
      <w:pPr>
        <w:autoSpaceDE w:val="0"/>
        <w:autoSpaceDN w:val="0"/>
        <w:adjustRightInd w:val="0"/>
        <w:spacing w:after="0" w:line="240" w:lineRule="auto"/>
        <w:jc w:val="both"/>
        <w:rPr>
          <w:rFonts w:ascii="Times New Roman" w:hAnsi="Times New Roman" w:cs="Times New Roman"/>
          <w:sz w:val="24"/>
          <w:szCs w:val="24"/>
        </w:rPr>
      </w:pPr>
    </w:p>
    <w:p w14:paraId="6046B362" w14:textId="77777777" w:rsidR="0051282D" w:rsidRPr="00690344" w:rsidRDefault="0051282D" w:rsidP="0051282D">
      <w:pPr>
        <w:autoSpaceDE w:val="0"/>
        <w:autoSpaceDN w:val="0"/>
        <w:adjustRightInd w:val="0"/>
        <w:spacing w:after="120" w:line="240" w:lineRule="auto"/>
        <w:jc w:val="both"/>
        <w:rPr>
          <w:rFonts w:ascii="Times New Roman" w:hAnsi="Times New Roman" w:cs="Times New Roman"/>
          <w:sz w:val="24"/>
          <w:szCs w:val="24"/>
        </w:rPr>
      </w:pPr>
      <w:r w:rsidRPr="00690344">
        <w:rPr>
          <w:rFonts w:ascii="Times New Roman" w:hAnsi="Times New Roman" w:cs="Times New Roman"/>
          <w:b/>
          <w:bCs/>
          <w:sz w:val="24"/>
          <w:szCs w:val="24"/>
        </w:rPr>
        <w:t xml:space="preserve">Art. 4 </w:t>
      </w:r>
      <w:r>
        <w:rPr>
          <w:rFonts w:ascii="Times New Roman" w:hAnsi="Times New Roman" w:cs="Times New Roman"/>
          <w:b/>
          <w:bCs/>
        </w:rPr>
        <w:sym w:font="Symbol" w:char="F02D"/>
      </w:r>
      <w:r>
        <w:rPr>
          <w:rFonts w:ascii="Times New Roman" w:hAnsi="Times New Roman" w:cs="Times New Roman"/>
          <w:b/>
          <w:bCs/>
        </w:rPr>
        <w:t xml:space="preserve"> </w:t>
      </w:r>
      <w:r w:rsidRPr="00690344">
        <w:rPr>
          <w:rFonts w:ascii="Times New Roman" w:hAnsi="Times New Roman" w:cs="Times New Roman"/>
          <w:b/>
          <w:bCs/>
          <w:sz w:val="24"/>
          <w:szCs w:val="24"/>
        </w:rPr>
        <w:t>Curriculum</w:t>
      </w:r>
    </w:p>
    <w:p w14:paraId="135C8DE5"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690344">
        <w:rPr>
          <w:rFonts w:ascii="Times New Roman" w:hAnsi="Times New Roman" w:cs="Times New Roman"/>
          <w:sz w:val="24"/>
          <w:szCs w:val="24"/>
        </w:rPr>
        <w:t xml:space="preserve">Il piano di studi EMMP è strutturato in un unico curriculum con vari insegnamenti a scelta articolati in modo tale che lo studente, se lo desidera, nel secondo anno ha la possibilità di specializzarsi maggiormente nel settore del trasporto </w:t>
      </w:r>
      <w:r w:rsidRPr="000B448E">
        <w:rPr>
          <w:rFonts w:ascii="Times New Roman" w:hAnsi="Times New Roman" w:cs="Times New Roman"/>
          <w:sz w:val="24"/>
          <w:szCs w:val="24"/>
        </w:rPr>
        <w:t xml:space="preserve">di merci, piuttosto che in quello del trasporto di persone, dopo aver conseguito nel primo anno approfondite conoscenze fondamentali in entrambi i settori.    </w:t>
      </w:r>
    </w:p>
    <w:p w14:paraId="60BC551E" w14:textId="77777777" w:rsidR="0051282D" w:rsidRPr="000B448E" w:rsidRDefault="0051282D" w:rsidP="0051282D">
      <w:pPr>
        <w:pStyle w:val="Default"/>
        <w:jc w:val="both"/>
        <w:rPr>
          <w:rFonts w:ascii="Times New Roman" w:hAnsi="Times New Roman" w:cs="Times New Roman"/>
          <w:color w:val="auto"/>
          <w:highlight w:val="yellow"/>
        </w:rPr>
      </w:pPr>
    </w:p>
    <w:p w14:paraId="341A5251" w14:textId="77777777" w:rsidR="0051282D" w:rsidRPr="000B448E" w:rsidRDefault="0051282D" w:rsidP="0051282D">
      <w:pPr>
        <w:pStyle w:val="Default"/>
        <w:spacing w:after="120"/>
        <w:jc w:val="both"/>
        <w:rPr>
          <w:rFonts w:ascii="Times New Roman" w:hAnsi="Times New Roman" w:cs="Times New Roman"/>
          <w:color w:val="auto"/>
        </w:rPr>
      </w:pPr>
      <w:r w:rsidRPr="000B448E">
        <w:rPr>
          <w:rFonts w:ascii="Times New Roman" w:hAnsi="Times New Roman" w:cs="Times New Roman"/>
          <w:b/>
          <w:bCs/>
          <w:color w:val="auto"/>
        </w:rPr>
        <w:t xml:space="preserve">Art. 5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Piani di studio</w:t>
      </w:r>
    </w:p>
    <w:p w14:paraId="70D4AEE9"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I piani di studio sono presentati dagli studenti in modalità telematica. I termini per la presentazione dei piani di studio sono indicati sul sito web del Dipartimento e del Corso di studio nel periodo stabilito e reso noto</w:t>
      </w:r>
      <w:r w:rsidRPr="000B448E">
        <w:rPr>
          <w:rFonts w:ascii="Times New Roman" w:hAnsi="Times New Roman" w:cs="Times New Roman"/>
          <w:spacing w:val="-7"/>
          <w:sz w:val="24"/>
          <w:szCs w:val="24"/>
        </w:rPr>
        <w:t xml:space="preserve"> </w:t>
      </w:r>
      <w:r w:rsidRPr="000B448E">
        <w:rPr>
          <w:rFonts w:ascii="Times New Roman" w:hAnsi="Times New Roman" w:cs="Times New Roman"/>
          <w:sz w:val="24"/>
          <w:szCs w:val="24"/>
        </w:rPr>
        <w:t>dal</w:t>
      </w:r>
      <w:r w:rsidRPr="000B448E">
        <w:rPr>
          <w:rFonts w:ascii="Times New Roman" w:hAnsi="Times New Roman" w:cs="Times New Roman"/>
          <w:spacing w:val="-10"/>
          <w:sz w:val="24"/>
          <w:szCs w:val="24"/>
        </w:rPr>
        <w:t xml:space="preserve"> </w:t>
      </w:r>
      <w:r w:rsidRPr="000B448E">
        <w:rPr>
          <w:rFonts w:ascii="Times New Roman" w:hAnsi="Times New Roman" w:cs="Times New Roman"/>
          <w:sz w:val="24"/>
          <w:szCs w:val="24"/>
        </w:rPr>
        <w:t>Dipartimento.</w:t>
      </w:r>
      <w:r w:rsidRPr="000B448E">
        <w:rPr>
          <w:rFonts w:ascii="Times New Roman" w:hAnsi="Times New Roman" w:cs="Times New Roman"/>
          <w:spacing w:val="-9"/>
          <w:sz w:val="24"/>
          <w:szCs w:val="24"/>
        </w:rPr>
        <w:t xml:space="preserve"> </w:t>
      </w:r>
      <w:r w:rsidRPr="000B448E">
        <w:rPr>
          <w:rFonts w:ascii="Times New Roman" w:hAnsi="Times New Roman" w:cs="Times New Roman"/>
          <w:sz w:val="24"/>
          <w:szCs w:val="24"/>
        </w:rPr>
        <w:t>I</w:t>
      </w:r>
      <w:r w:rsidRPr="000B448E">
        <w:rPr>
          <w:rFonts w:ascii="Times New Roman" w:hAnsi="Times New Roman" w:cs="Times New Roman"/>
          <w:spacing w:val="-6"/>
          <w:sz w:val="24"/>
          <w:szCs w:val="24"/>
        </w:rPr>
        <w:t xml:space="preserve"> </w:t>
      </w:r>
      <w:r w:rsidRPr="000B448E">
        <w:rPr>
          <w:rFonts w:ascii="Times New Roman" w:hAnsi="Times New Roman" w:cs="Times New Roman"/>
          <w:sz w:val="24"/>
          <w:szCs w:val="24"/>
        </w:rPr>
        <w:t>piani</w:t>
      </w:r>
      <w:r w:rsidRPr="000B448E">
        <w:rPr>
          <w:rFonts w:ascii="Times New Roman" w:hAnsi="Times New Roman" w:cs="Times New Roman"/>
          <w:spacing w:val="-10"/>
          <w:sz w:val="24"/>
          <w:szCs w:val="24"/>
        </w:rPr>
        <w:t xml:space="preserve"> </w:t>
      </w:r>
      <w:r w:rsidRPr="000B448E">
        <w:rPr>
          <w:rFonts w:ascii="Times New Roman" w:hAnsi="Times New Roman" w:cs="Times New Roman"/>
          <w:sz w:val="24"/>
          <w:szCs w:val="24"/>
        </w:rPr>
        <w:t>di</w:t>
      </w:r>
      <w:r w:rsidRPr="000B448E">
        <w:rPr>
          <w:rFonts w:ascii="Times New Roman" w:hAnsi="Times New Roman" w:cs="Times New Roman"/>
          <w:spacing w:val="-9"/>
          <w:sz w:val="24"/>
          <w:szCs w:val="24"/>
        </w:rPr>
        <w:t xml:space="preserve"> </w:t>
      </w:r>
      <w:r w:rsidRPr="000B448E">
        <w:rPr>
          <w:rFonts w:ascii="Times New Roman" w:hAnsi="Times New Roman" w:cs="Times New Roman"/>
          <w:sz w:val="24"/>
          <w:szCs w:val="24"/>
        </w:rPr>
        <w:t>studio</w:t>
      </w:r>
      <w:r w:rsidRPr="000B448E">
        <w:rPr>
          <w:rFonts w:ascii="Times New Roman" w:hAnsi="Times New Roman" w:cs="Times New Roman"/>
          <w:spacing w:val="-8"/>
          <w:sz w:val="24"/>
          <w:szCs w:val="24"/>
        </w:rPr>
        <w:t xml:space="preserve"> </w:t>
      </w:r>
      <w:r w:rsidRPr="000B448E">
        <w:rPr>
          <w:rFonts w:ascii="Times New Roman" w:hAnsi="Times New Roman" w:cs="Times New Roman"/>
          <w:sz w:val="24"/>
          <w:szCs w:val="24"/>
        </w:rPr>
        <w:t>conformi</w:t>
      </w:r>
      <w:r w:rsidRPr="000B448E">
        <w:rPr>
          <w:rFonts w:ascii="Times New Roman" w:hAnsi="Times New Roman" w:cs="Times New Roman"/>
          <w:spacing w:val="-10"/>
          <w:sz w:val="24"/>
          <w:szCs w:val="24"/>
        </w:rPr>
        <w:t xml:space="preserve"> </w:t>
      </w:r>
      <w:r w:rsidRPr="000B448E">
        <w:rPr>
          <w:rFonts w:ascii="Times New Roman" w:hAnsi="Times New Roman" w:cs="Times New Roman"/>
          <w:sz w:val="24"/>
          <w:szCs w:val="24"/>
        </w:rPr>
        <w:t>all’offerta</w:t>
      </w:r>
      <w:r w:rsidRPr="000B448E">
        <w:rPr>
          <w:rFonts w:ascii="Times New Roman" w:hAnsi="Times New Roman" w:cs="Times New Roman"/>
          <w:spacing w:val="-6"/>
          <w:sz w:val="24"/>
          <w:szCs w:val="24"/>
        </w:rPr>
        <w:t xml:space="preserve"> </w:t>
      </w:r>
      <w:r w:rsidRPr="000B448E">
        <w:rPr>
          <w:rFonts w:ascii="Times New Roman" w:hAnsi="Times New Roman" w:cs="Times New Roman"/>
          <w:sz w:val="24"/>
          <w:szCs w:val="24"/>
        </w:rPr>
        <w:t>formativa</w:t>
      </w:r>
      <w:r w:rsidRPr="000B448E">
        <w:rPr>
          <w:rFonts w:ascii="Times New Roman" w:hAnsi="Times New Roman" w:cs="Times New Roman"/>
          <w:spacing w:val="-8"/>
          <w:sz w:val="24"/>
          <w:szCs w:val="24"/>
        </w:rPr>
        <w:t xml:space="preserve"> </w:t>
      </w:r>
      <w:r w:rsidRPr="000B448E">
        <w:rPr>
          <w:rFonts w:ascii="Times New Roman" w:hAnsi="Times New Roman" w:cs="Times New Roman"/>
          <w:sz w:val="24"/>
          <w:szCs w:val="24"/>
        </w:rPr>
        <w:t>inserita</w:t>
      </w:r>
      <w:r w:rsidRPr="000B448E">
        <w:rPr>
          <w:rFonts w:ascii="Times New Roman" w:hAnsi="Times New Roman" w:cs="Times New Roman"/>
          <w:spacing w:val="-10"/>
          <w:sz w:val="24"/>
          <w:szCs w:val="24"/>
        </w:rPr>
        <w:t xml:space="preserve"> </w:t>
      </w:r>
      <w:r w:rsidRPr="000B448E">
        <w:rPr>
          <w:rFonts w:ascii="Times New Roman" w:hAnsi="Times New Roman" w:cs="Times New Roman"/>
          <w:sz w:val="24"/>
          <w:szCs w:val="24"/>
        </w:rPr>
        <w:t>nella</w:t>
      </w:r>
      <w:r w:rsidRPr="000B448E">
        <w:rPr>
          <w:rFonts w:ascii="Times New Roman" w:hAnsi="Times New Roman" w:cs="Times New Roman"/>
          <w:spacing w:val="-6"/>
          <w:sz w:val="24"/>
          <w:szCs w:val="24"/>
        </w:rPr>
        <w:t xml:space="preserve"> </w:t>
      </w:r>
      <w:r w:rsidRPr="000B448E">
        <w:rPr>
          <w:rFonts w:ascii="Times New Roman" w:hAnsi="Times New Roman" w:cs="Times New Roman"/>
          <w:sz w:val="24"/>
          <w:szCs w:val="24"/>
        </w:rPr>
        <w:t>banca</w:t>
      </w:r>
      <w:r w:rsidRPr="000B448E">
        <w:rPr>
          <w:rFonts w:ascii="Times New Roman" w:hAnsi="Times New Roman" w:cs="Times New Roman"/>
          <w:spacing w:val="-8"/>
          <w:sz w:val="24"/>
          <w:szCs w:val="24"/>
        </w:rPr>
        <w:t xml:space="preserve"> </w:t>
      </w:r>
      <w:r w:rsidRPr="000B448E">
        <w:rPr>
          <w:rFonts w:ascii="Times New Roman" w:hAnsi="Times New Roman" w:cs="Times New Roman"/>
          <w:sz w:val="24"/>
          <w:szCs w:val="24"/>
        </w:rPr>
        <w:t>ministeriale vengono approvati</w:t>
      </w:r>
      <w:r w:rsidRPr="000B448E">
        <w:rPr>
          <w:rFonts w:ascii="Times New Roman" w:hAnsi="Times New Roman" w:cs="Times New Roman"/>
          <w:spacing w:val="-1"/>
          <w:sz w:val="24"/>
          <w:szCs w:val="24"/>
        </w:rPr>
        <w:t xml:space="preserve"> </w:t>
      </w:r>
      <w:r w:rsidRPr="000B448E">
        <w:rPr>
          <w:rFonts w:ascii="Times New Roman" w:hAnsi="Times New Roman" w:cs="Times New Roman"/>
          <w:sz w:val="24"/>
          <w:szCs w:val="24"/>
        </w:rPr>
        <w:t>automaticamente.</w:t>
      </w:r>
    </w:p>
    <w:p w14:paraId="2A471768"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Lo studente può presentare un piano di studio individuale purché coerente con il progetto culturale e adeguato agli obiettivi formativi e ai contenuti specifici del </w:t>
      </w:r>
      <w:r w:rsidRPr="000B448E">
        <w:rPr>
          <w:rFonts w:ascii="Times New Roman" w:hAnsi="Times New Roman" w:cs="Times New Roman"/>
          <w:caps/>
          <w:sz w:val="24"/>
          <w:szCs w:val="24"/>
        </w:rPr>
        <w:t>c</w:t>
      </w:r>
      <w:r w:rsidRPr="000B448E">
        <w:rPr>
          <w:rFonts w:ascii="Times New Roman" w:hAnsi="Times New Roman" w:cs="Times New Roman"/>
          <w:sz w:val="24"/>
          <w:szCs w:val="24"/>
        </w:rPr>
        <w:t xml:space="preserve">orso di studi. </w:t>
      </w:r>
    </w:p>
    <w:p w14:paraId="0459C6E1"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I 12 crediti previsti dall’ordinamento sotto il titolo di Attività a scelta degli studenti sono acquisibili mediante: </w:t>
      </w:r>
    </w:p>
    <w:p w14:paraId="032F4DE7" w14:textId="77777777" w:rsidR="0051282D" w:rsidRPr="000B448E" w:rsidRDefault="0051282D" w:rsidP="0051282D">
      <w:pPr>
        <w:pStyle w:val="TableParagraph"/>
        <w:numPr>
          <w:ilvl w:val="0"/>
          <w:numId w:val="18"/>
        </w:numPr>
        <w:tabs>
          <w:tab w:val="left" w:pos="851"/>
        </w:tabs>
        <w:ind w:left="851" w:right="41" w:hanging="283"/>
        <w:jc w:val="both"/>
        <w:rPr>
          <w:rFonts w:ascii="Times New Roman" w:hAnsi="Times New Roman" w:cs="Times New Roman"/>
          <w:sz w:val="24"/>
          <w:szCs w:val="24"/>
        </w:rPr>
      </w:pPr>
      <w:r w:rsidRPr="000B448E">
        <w:rPr>
          <w:rFonts w:ascii="Times New Roman" w:hAnsi="Times New Roman" w:cs="Times New Roman"/>
          <w:sz w:val="24"/>
          <w:szCs w:val="24"/>
        </w:rPr>
        <w:t>inserimento delle materie appositamente suggerite dal CCS nel Manifesto degli studi;</w:t>
      </w:r>
    </w:p>
    <w:p w14:paraId="48CC582E" w14:textId="77777777" w:rsidR="0051282D" w:rsidRPr="00761F42" w:rsidRDefault="0051282D" w:rsidP="0051282D">
      <w:pPr>
        <w:pStyle w:val="TableParagraph"/>
        <w:numPr>
          <w:ilvl w:val="0"/>
          <w:numId w:val="18"/>
        </w:numPr>
        <w:tabs>
          <w:tab w:val="left" w:pos="851"/>
        </w:tabs>
        <w:ind w:left="851" w:right="41" w:hanging="283"/>
        <w:jc w:val="both"/>
        <w:rPr>
          <w:rFonts w:ascii="Times New Roman" w:hAnsi="Times New Roman" w:cs="Times New Roman"/>
          <w:sz w:val="24"/>
          <w:szCs w:val="24"/>
        </w:rPr>
      </w:pPr>
      <w:r w:rsidRPr="00761F42">
        <w:rPr>
          <w:rFonts w:ascii="Times New Roman" w:hAnsi="Times New Roman" w:cs="Times New Roman"/>
          <w:sz w:val="24"/>
          <w:szCs w:val="24"/>
        </w:rPr>
        <w:t>inserimento di altri insegnamenti impartiti nell’ambito dei Corsi di studio magistrali del Dipartimento di Economia;</w:t>
      </w:r>
    </w:p>
    <w:p w14:paraId="625FBE91" w14:textId="77777777" w:rsidR="0051282D" w:rsidRPr="000B448E" w:rsidRDefault="0051282D" w:rsidP="0051282D">
      <w:pPr>
        <w:pStyle w:val="TableParagraph"/>
        <w:numPr>
          <w:ilvl w:val="0"/>
          <w:numId w:val="18"/>
        </w:numPr>
        <w:tabs>
          <w:tab w:val="left" w:pos="851"/>
        </w:tabs>
        <w:ind w:left="851" w:right="41" w:hanging="283"/>
        <w:jc w:val="both"/>
        <w:rPr>
          <w:rFonts w:ascii="Times New Roman" w:hAnsi="Times New Roman" w:cs="Times New Roman"/>
          <w:sz w:val="24"/>
          <w:szCs w:val="24"/>
        </w:rPr>
      </w:pPr>
      <w:r w:rsidRPr="000B448E">
        <w:rPr>
          <w:rFonts w:ascii="Times New Roman" w:hAnsi="Times New Roman" w:cs="Times New Roman"/>
          <w:sz w:val="24"/>
          <w:szCs w:val="24"/>
        </w:rPr>
        <w:t>inserimento di altri insegnamenti impartiti nell’Ateneo genovese la cui coerenza con il percorso formativo sia stata approvata dal Coordinatore del CdS EMMP.</w:t>
      </w:r>
    </w:p>
    <w:p w14:paraId="74932C39" w14:textId="77777777" w:rsidR="00534DA5" w:rsidRPr="00925156" w:rsidRDefault="00534DA5" w:rsidP="00534DA5">
      <w:pPr>
        <w:pStyle w:val="Default"/>
        <w:ind w:left="284"/>
        <w:jc w:val="both"/>
        <w:rPr>
          <w:rFonts w:ascii="Times New Roman" w:hAnsi="Times New Roman" w:cs="Times New Roman"/>
          <w:color w:val="auto"/>
        </w:rPr>
      </w:pPr>
      <w:bookmarkStart w:id="0" w:name="_GoBack"/>
      <w:r w:rsidRPr="00925156">
        <w:rPr>
          <w:rStyle w:val="cf01"/>
          <w:rFonts w:ascii="Times New Roman" w:hAnsi="Times New Roman" w:cs="Times New Roman"/>
          <w:b w:val="0"/>
          <w:bCs w:val="0"/>
          <w:sz w:val="24"/>
          <w:szCs w:val="24"/>
        </w:rPr>
        <w:lastRenderedPageBreak/>
        <w:t>Il piano di studio può essere articolato</w:t>
      </w:r>
      <w:r w:rsidRPr="00925156">
        <w:rPr>
          <w:rStyle w:val="cf11"/>
          <w:rFonts w:ascii="Times New Roman" w:hAnsi="Times New Roman" w:cs="Times New Roman"/>
          <w:sz w:val="24"/>
          <w:szCs w:val="24"/>
        </w:rPr>
        <w:t xml:space="preserve"> su una durata più lunga rispetto a quella ordinaria in caso di iscrizione a tempo parziale, ovvero, </w:t>
      </w:r>
      <w:r w:rsidRPr="00925156">
        <w:rPr>
          <w:rStyle w:val="cf01"/>
          <w:rFonts w:ascii="Times New Roman" w:hAnsi="Times New Roman" w:cs="Times New Roman"/>
          <w:b w:val="0"/>
          <w:bCs w:val="0"/>
          <w:sz w:val="24"/>
          <w:szCs w:val="24"/>
        </w:rPr>
        <w:t>in presenza di un eccezionale rendimento didattico nell’anno accademico precedente, su una durata più breve.</w:t>
      </w:r>
    </w:p>
    <w:bookmarkEnd w:id="0"/>
    <w:p w14:paraId="0E1EBA10"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Il piano di studi individuale conforme all’ordinamento didattico è approvato dal Consiglio di Corso di Studi.</w:t>
      </w:r>
    </w:p>
    <w:p w14:paraId="4BD4B52E"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Il piano di studio individuale, non aderente al percorso inserito nella banca dati ministeriale dell’offerta formativa ma conforme all’ordinamento didattico, ovvero articolato su una durata più breve rispetto a quella normale, è approvato sia dal CCS sia dal Consiglio di Dipartimento. </w:t>
      </w:r>
    </w:p>
    <w:p w14:paraId="3A37767C" w14:textId="77777777" w:rsidR="0051282D"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Le eventuali materie inserite “Fuori Piano” non concorrono al calcolo della media dei voti ai fini dell’attribuzione del punteggio finale.</w:t>
      </w:r>
    </w:p>
    <w:p w14:paraId="507DBECF" w14:textId="77777777" w:rsidR="0051282D" w:rsidRPr="000B448E" w:rsidRDefault="0051282D" w:rsidP="0051282D">
      <w:pPr>
        <w:pStyle w:val="Default"/>
        <w:jc w:val="both"/>
        <w:rPr>
          <w:rFonts w:ascii="Times New Roman" w:hAnsi="Times New Roman" w:cs="Times New Roman"/>
          <w:color w:val="auto"/>
        </w:rPr>
      </w:pPr>
    </w:p>
    <w:p w14:paraId="030DF8D3"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6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Frequenza e modalità di svolgimento delle attività formative</w:t>
      </w:r>
    </w:p>
    <w:p w14:paraId="4A0F602A"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La frequenza, utile e perciò consigliata, non è obbligatoria e non può costituire motivo di ingiustificate differenze di trattamento tra studenti.</w:t>
      </w:r>
    </w:p>
    <w:p w14:paraId="4AE8F6DD" w14:textId="77777777" w:rsidR="0051282D" w:rsidRPr="000B448E" w:rsidRDefault="0051282D" w:rsidP="0051282D">
      <w:pPr>
        <w:pStyle w:val="TableParagraph"/>
        <w:ind w:left="0" w:right="-1"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Le attività formative si articolano in insegnamenti (lezioni frontali ed esercitazioni), attività laboratoriali, attività integrative alla didattica, seminari, conferenze, tirocini. Il CCS EMMP favorisce anche lo svolgimento di seminari interdisciplinari per stimolare gli studenti a comporre metodi, strumenti e prospettive di discipline differenti. </w:t>
      </w:r>
    </w:p>
    <w:p w14:paraId="66535154" w14:textId="77777777" w:rsidR="0051282D" w:rsidRPr="000B448E" w:rsidRDefault="0051282D" w:rsidP="0051282D">
      <w:pPr>
        <w:pStyle w:val="TableParagraph"/>
        <w:ind w:left="0" w:right="-1" w:firstLine="284"/>
        <w:jc w:val="both"/>
        <w:rPr>
          <w:rFonts w:ascii="Times New Roman" w:hAnsi="Times New Roman" w:cs="Times New Roman"/>
          <w:sz w:val="24"/>
          <w:szCs w:val="24"/>
        </w:rPr>
      </w:pPr>
      <w:r w:rsidRPr="0088069D">
        <w:rPr>
          <w:rFonts w:ascii="Times New Roman" w:hAnsi="Times New Roman" w:cs="Times New Roman"/>
          <w:sz w:val="24"/>
          <w:szCs w:val="24"/>
        </w:rPr>
        <w:t>Per lo svolgimento delle attività didattiche i docenti possono avvalersi di modalità telematiche mediante l’utilizzo degli strumenti di e-learning messi a disposizione dell’Ateneo, in misura non superiore al 10% delle ore totali di lezione. Tale percentuale può subire variazioni in condizioni di emergenza conclamata.</w:t>
      </w:r>
    </w:p>
    <w:p w14:paraId="2563E393"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I singoli anni di Corso si suddividono in due periodi didattici (semestri), indicati nel Manifesto degli Studi. Tali periodi sono separati da un congruo intervallo al fine di consentire lo svolgimento degli esami. L’orario delle lezioni, le date e gli orari degli esami e delle prove finali sono consultabili sul sito web del Dipartimento e del Corso di studio. Per il numero degli appelli d’esame, per l’intervallo minimo tra due appelli successivi e per eventuali appelli durante il periodo delle lezioni si rimanda al Regolamento didattico di Ateneo</w:t>
      </w:r>
      <w:r>
        <w:rPr>
          <w:rFonts w:ascii="Times New Roman" w:hAnsi="Times New Roman" w:cs="Times New Roman"/>
          <w:color w:val="auto"/>
        </w:rPr>
        <w:t>,</w:t>
      </w:r>
      <w:r w:rsidRPr="000B448E">
        <w:rPr>
          <w:rFonts w:ascii="Times New Roman" w:hAnsi="Times New Roman" w:cs="Times New Roman"/>
          <w:color w:val="auto"/>
        </w:rPr>
        <w:t xml:space="preserve"> art. </w:t>
      </w:r>
      <w:r>
        <w:rPr>
          <w:rFonts w:ascii="Times New Roman" w:hAnsi="Times New Roman" w:cs="Times New Roman"/>
          <w:color w:val="auto"/>
        </w:rPr>
        <w:t>22, comma 4</w:t>
      </w:r>
      <w:r w:rsidRPr="000B448E">
        <w:rPr>
          <w:rFonts w:ascii="Times New Roman" w:hAnsi="Times New Roman" w:cs="Times New Roman"/>
          <w:color w:val="auto"/>
        </w:rPr>
        <w:t xml:space="preserve">. </w:t>
      </w:r>
    </w:p>
    <w:p w14:paraId="041E5300" w14:textId="77777777" w:rsidR="0051282D" w:rsidRPr="000B448E" w:rsidRDefault="0051282D" w:rsidP="0051282D">
      <w:pPr>
        <w:pStyle w:val="Default"/>
        <w:jc w:val="both"/>
        <w:rPr>
          <w:rFonts w:ascii="Times New Roman" w:hAnsi="Times New Roman" w:cs="Times New Roman"/>
          <w:color w:val="auto"/>
          <w:highlight w:val="yellow"/>
        </w:rPr>
      </w:pPr>
    </w:p>
    <w:p w14:paraId="1A62DD40"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7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 xml:space="preserve">Esami e altre verifiche del profitto </w:t>
      </w:r>
    </w:p>
    <w:p w14:paraId="5DCEA735"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La verifica del profitto ovvero la verifica dell’apprendimento degli studenti avverrà al termine dello svolgimento di ogni attività formativa, senza un limite massimo entro il quale la verifica debba essere superata, secondo modalità stabilite dai singoli Docenti. </w:t>
      </w:r>
    </w:p>
    <w:p w14:paraId="5BF1769E"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Le Commissioni dispongono di trenta punti per la valutazione del profitto; può essere concessa all’unanimità la lode. L’esame è superato se gli studenti ottengono una valutazione pari o superiore a diciotto punti su trenta. L’esito dell’esame è verbalizzato, con la votazione conseguita, </w:t>
      </w:r>
      <w:r w:rsidRPr="00690344">
        <w:rPr>
          <w:rFonts w:ascii="Times New Roman" w:hAnsi="Times New Roman" w:cs="Times New Roman"/>
          <w:color w:val="auto"/>
        </w:rPr>
        <w:t xml:space="preserve">nel rispetto delle disposizioni previste per la verbalizzazione online e la successiva registrazione nella carriera dello studente. I Docenti hanno altresì la possibilità di effettuare prove scritte e/o orali </w:t>
      </w:r>
      <w:r w:rsidRPr="000B448E">
        <w:rPr>
          <w:rFonts w:ascii="Times New Roman" w:hAnsi="Times New Roman" w:cs="Times New Roman"/>
          <w:color w:val="auto"/>
        </w:rPr>
        <w:t xml:space="preserve">durante il corso, nelle ore di lezione del docente stesso, che possono costituire elemento di valutazione intermedia dell’apprendimento. </w:t>
      </w:r>
    </w:p>
    <w:p w14:paraId="5960677C"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Per le attività formative per le quali non è prevista l’espressione di un punteggio, l’esito positivo della prova verrà registrato come “superato” e non concorrerà al calcolo della media ponderata finale.</w:t>
      </w:r>
    </w:p>
    <w:p w14:paraId="626EE2F3" w14:textId="77777777" w:rsidR="0051282D" w:rsidRPr="000B448E" w:rsidRDefault="0051282D" w:rsidP="0051282D">
      <w:pPr>
        <w:pStyle w:val="TableParagraph"/>
        <w:ind w:left="0" w:right="-1" w:firstLine="284"/>
        <w:jc w:val="both"/>
        <w:rPr>
          <w:rFonts w:ascii="Times New Roman" w:hAnsi="Times New Roman" w:cs="Times New Roman"/>
          <w:sz w:val="24"/>
          <w:szCs w:val="24"/>
        </w:rPr>
      </w:pPr>
      <w:r w:rsidRPr="00E8620E">
        <w:rPr>
          <w:rStyle w:val="xmarkedcontent"/>
          <w:rFonts w:ascii="Times New Roman" w:hAnsi="Times New Roman" w:cs="Times New Roman"/>
          <w:sz w:val="24"/>
          <w:szCs w:val="24"/>
        </w:rPr>
        <w:t>Con riferimento alla possibilità di ripetere l</w:t>
      </w:r>
      <w:r>
        <w:rPr>
          <w:rStyle w:val="xmarkedcontent"/>
          <w:rFonts w:ascii="Times New Roman" w:hAnsi="Times New Roman" w:cs="Times New Roman"/>
          <w:sz w:val="24"/>
          <w:szCs w:val="24"/>
        </w:rPr>
        <w:t>’</w:t>
      </w:r>
      <w:r w:rsidRPr="00E8620E">
        <w:rPr>
          <w:rStyle w:val="xmarkedcontent"/>
          <w:rFonts w:ascii="Times New Roman" w:hAnsi="Times New Roman" w:cs="Times New Roman"/>
          <w:sz w:val="24"/>
          <w:szCs w:val="24"/>
        </w:rPr>
        <w:t>esame fallito, la limitazione del numero d</w:t>
      </w:r>
      <w:r>
        <w:rPr>
          <w:rStyle w:val="xmarkedcontent"/>
          <w:rFonts w:ascii="Times New Roman" w:hAnsi="Times New Roman" w:cs="Times New Roman"/>
          <w:sz w:val="24"/>
          <w:szCs w:val="24"/>
        </w:rPr>
        <w:t>’</w:t>
      </w:r>
      <w:r w:rsidRPr="00E8620E">
        <w:rPr>
          <w:rStyle w:val="xmarkedcontent"/>
          <w:rFonts w:ascii="Times New Roman" w:hAnsi="Times New Roman" w:cs="Times New Roman"/>
          <w:sz w:val="24"/>
          <w:szCs w:val="24"/>
        </w:rPr>
        <w:t xml:space="preserve">appelli a cui lo studente si può presentare, se ritenuta necessaria, deve essere adeguatamente resa pubblica dai singoli docenti, comunque in misura tale da non compromettere il numero di appelli consentito dal vigente </w:t>
      </w:r>
      <w:r w:rsidRPr="00761F42">
        <w:rPr>
          <w:rStyle w:val="xmarkedcontent"/>
          <w:rFonts w:ascii="Times New Roman" w:hAnsi="Times New Roman" w:cs="Times New Roman"/>
          <w:sz w:val="24"/>
          <w:szCs w:val="24"/>
        </w:rPr>
        <w:t>Regolamento didattico d’Ateneo all’art. 22 comma 4 (DR n. 1281 del 28.3.2022 in vigore dal 13.4.22).</w:t>
      </w:r>
      <w:r w:rsidRPr="00E8620E">
        <w:rPr>
          <w:rStyle w:val="xmarkedcontent"/>
          <w:rFonts w:ascii="Times New Roman" w:hAnsi="Times New Roman" w:cs="Times New Roman"/>
          <w:sz w:val="24"/>
          <w:szCs w:val="24"/>
        </w:rPr>
        <w:t xml:space="preserve"> </w:t>
      </w:r>
      <w:r w:rsidRPr="000B448E">
        <w:rPr>
          <w:rFonts w:ascii="Times New Roman" w:hAnsi="Times New Roman" w:cs="Times New Roman"/>
          <w:sz w:val="24"/>
          <w:szCs w:val="24"/>
        </w:rPr>
        <w:t xml:space="preserve">Il salto di appello non si applica </w:t>
      </w:r>
      <w:r w:rsidRPr="000B448E">
        <w:rPr>
          <w:rFonts w:ascii="Times New Roman" w:hAnsi="Times New Roman" w:cs="Times New Roman"/>
          <w:sz w:val="24"/>
          <w:szCs w:val="24"/>
        </w:rPr>
        <w:lastRenderedPageBreak/>
        <w:t>se implica un salto di sessione.</w:t>
      </w:r>
    </w:p>
    <w:p w14:paraId="53057B7D"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Le Commissioni d’esame sono nominate dal Direttore del Dipartimento e sono composte da almeno due membri dei quali uno è il Docente responsabile dell’insegnamento, secondo quanto previsto dal Regolamento didattico di Ateneo.</w:t>
      </w:r>
    </w:p>
    <w:p w14:paraId="145F43E1"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Per le materie organizzate in moduli (anche erogati in periodi differenti, o di semestre, o di anno) la registrazione del voto nella carriera dello studente sarà possibile solo dopo il superamento delle prove di esame di ciascun modulo e il voto finale corrisponderà alla media ponderata delle singole votazioni ottenute.</w:t>
      </w:r>
    </w:p>
    <w:p w14:paraId="25BBBD92"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Gli studenti con disabilità </w:t>
      </w:r>
      <w:r w:rsidRPr="00761F42">
        <w:rPr>
          <w:rFonts w:ascii="Times New Roman" w:hAnsi="Times New Roman" w:cs="Times New Roman"/>
          <w:sz w:val="24"/>
          <w:szCs w:val="24"/>
        </w:rPr>
        <w:t>sostengono</w:t>
      </w:r>
      <w:r w:rsidRPr="000B448E">
        <w:rPr>
          <w:rFonts w:ascii="Times New Roman" w:hAnsi="Times New Roman" w:cs="Times New Roman"/>
          <w:sz w:val="24"/>
          <w:szCs w:val="24"/>
        </w:rPr>
        <w:t xml:space="preserve"> prove equivalenti alle prove di verifica del profitto stabilite da ciascun </w:t>
      </w:r>
      <w:r w:rsidRPr="0081159A">
        <w:rPr>
          <w:rFonts w:ascii="Times New Roman" w:hAnsi="Times New Roman" w:cs="Times New Roman"/>
          <w:caps/>
          <w:sz w:val="24"/>
          <w:szCs w:val="24"/>
        </w:rPr>
        <w:t>d</w:t>
      </w:r>
      <w:r w:rsidRPr="000B448E">
        <w:rPr>
          <w:rFonts w:ascii="Times New Roman" w:hAnsi="Times New Roman" w:cs="Times New Roman"/>
          <w:sz w:val="24"/>
          <w:szCs w:val="24"/>
        </w:rPr>
        <w:t>ocente. Essi potranno avvalersi della possibilità di prolungare fino al 50% (disabilità) e 30% (DSA) in più il tempo della prova e, se necessario, di svolgere la stessa in presenza di tutor autorizzati, che hanno il compito di consentire l’accesso alle prove o l’esecuzione materiale delle stesse, in base agli impedimenti neuro-sensoriali o fisici dello studente. Gli studenti con disabilità svolgono gli esami con l</w:t>
      </w:r>
      <w:r>
        <w:rPr>
          <w:rFonts w:ascii="Times New Roman" w:hAnsi="Times New Roman" w:cs="Times New Roman"/>
          <w:sz w:val="24"/>
          <w:szCs w:val="24"/>
        </w:rPr>
        <w:t>’</w:t>
      </w:r>
      <w:r w:rsidRPr="000B448E">
        <w:rPr>
          <w:rFonts w:ascii="Times New Roman" w:hAnsi="Times New Roman" w:cs="Times New Roman"/>
          <w:sz w:val="24"/>
          <w:szCs w:val="24"/>
        </w:rPr>
        <w:t xml:space="preserve">uso degli ausili loro necessari. Il Settore servizi per gli studenti con disabilità e studenti con DSA, tramite il Referente di Area, garantisce sussidi tecnici e didattici specifici, nonché il supporto di appositi servizi di tutorato specializzato, sulla base delle risorse finanziarie disponibili; analogamente, per gli studenti con DSA verranno applicati i necessari strumenti compensativi e le necessarie misure compensative e dispensative previste per legge, nel rispetto degli obiettivi previsti nel </w:t>
      </w:r>
      <w:r w:rsidRPr="000B448E">
        <w:rPr>
          <w:rFonts w:ascii="Times New Roman" w:hAnsi="Times New Roman" w:cs="Times New Roman"/>
          <w:caps/>
          <w:sz w:val="24"/>
          <w:szCs w:val="24"/>
        </w:rPr>
        <w:t>c</w:t>
      </w:r>
      <w:r w:rsidRPr="000B448E">
        <w:rPr>
          <w:rFonts w:ascii="Times New Roman" w:hAnsi="Times New Roman" w:cs="Times New Roman"/>
          <w:sz w:val="24"/>
          <w:szCs w:val="24"/>
        </w:rPr>
        <w:t>orso di studio. Il trattamento individualizzato in favore degli studenti con disabilità viene concertato tra il Referente di Area per gli studenti con disabilità e DSA e il Presidente della Commissione d</w:t>
      </w:r>
      <w:r>
        <w:rPr>
          <w:rFonts w:ascii="Times New Roman" w:hAnsi="Times New Roman" w:cs="Times New Roman"/>
          <w:sz w:val="24"/>
          <w:szCs w:val="24"/>
        </w:rPr>
        <w:t>’</w:t>
      </w:r>
      <w:r w:rsidRPr="000B448E">
        <w:rPr>
          <w:rFonts w:ascii="Times New Roman" w:hAnsi="Times New Roman" w:cs="Times New Roman"/>
          <w:sz w:val="24"/>
          <w:szCs w:val="24"/>
        </w:rPr>
        <w:t>esame.</w:t>
      </w:r>
    </w:p>
    <w:p w14:paraId="2E6451AC" w14:textId="77777777" w:rsidR="0051282D" w:rsidRDefault="0051282D" w:rsidP="0051282D">
      <w:pPr>
        <w:pStyle w:val="Default"/>
        <w:spacing w:after="120"/>
        <w:jc w:val="both"/>
        <w:rPr>
          <w:rFonts w:ascii="Times New Roman" w:hAnsi="Times New Roman" w:cs="Times New Roman"/>
          <w:b/>
          <w:bCs/>
          <w:color w:val="auto"/>
        </w:rPr>
      </w:pPr>
    </w:p>
    <w:p w14:paraId="599DFFD6"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8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 xml:space="preserve">Riconoscimento crediti </w:t>
      </w:r>
    </w:p>
    <w:p w14:paraId="1D6C921B"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Le attività formative non previste nella parte speciale del presente Regolamento, anche tenute presso idonei istituti pubblici e/o privati in Italia e all’estero, potranno essere riconosciute dal Corso di studio magistrale, secondo le modalità previste, qualora assicurino conoscenze, capacità di comprensione e abilità di applicare conoscenze e capacità di comprensione coerenti con l’obiettivo formativo del Corso medesimo.</w:t>
      </w:r>
    </w:p>
    <w:p w14:paraId="692DD5B8"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Compete al CCS EMMP, previa istruttoria di apposita Commissione, il riconoscimento dei crediti acquisiti dagli studenti per:</w:t>
      </w:r>
    </w:p>
    <w:p w14:paraId="1E6CF1BA" w14:textId="77777777" w:rsidR="0051282D" w:rsidRPr="000B448E" w:rsidRDefault="0051282D" w:rsidP="0051282D">
      <w:pPr>
        <w:pStyle w:val="TableParagraph"/>
        <w:numPr>
          <w:ilvl w:val="0"/>
          <w:numId w:val="19"/>
        </w:numPr>
        <w:tabs>
          <w:tab w:val="left" w:pos="851"/>
        </w:tabs>
        <w:ind w:left="851" w:right="41" w:hanging="283"/>
        <w:jc w:val="both"/>
        <w:rPr>
          <w:rFonts w:ascii="Times New Roman" w:hAnsi="Times New Roman" w:cs="Times New Roman"/>
          <w:sz w:val="24"/>
          <w:szCs w:val="24"/>
        </w:rPr>
      </w:pPr>
      <w:r w:rsidRPr="000B448E">
        <w:rPr>
          <w:rFonts w:ascii="Times New Roman" w:hAnsi="Times New Roman" w:cs="Times New Roman"/>
          <w:sz w:val="24"/>
          <w:szCs w:val="24"/>
        </w:rPr>
        <w:t>provenienza da altri Corsi di studio di Atenei italiani e/o stranieri;</w:t>
      </w:r>
    </w:p>
    <w:p w14:paraId="5482260A" w14:textId="77777777" w:rsidR="0051282D" w:rsidRPr="000B448E" w:rsidRDefault="0051282D" w:rsidP="0051282D">
      <w:pPr>
        <w:pStyle w:val="TableParagraph"/>
        <w:numPr>
          <w:ilvl w:val="0"/>
          <w:numId w:val="19"/>
        </w:numPr>
        <w:tabs>
          <w:tab w:val="left" w:pos="851"/>
        </w:tabs>
        <w:ind w:left="851" w:right="41" w:hanging="283"/>
        <w:jc w:val="both"/>
        <w:rPr>
          <w:rFonts w:ascii="Times New Roman" w:hAnsi="Times New Roman" w:cs="Times New Roman"/>
          <w:sz w:val="24"/>
          <w:szCs w:val="24"/>
        </w:rPr>
      </w:pPr>
      <w:r w:rsidRPr="000B448E">
        <w:rPr>
          <w:rFonts w:ascii="Times New Roman" w:hAnsi="Times New Roman" w:cs="Times New Roman"/>
          <w:sz w:val="24"/>
          <w:szCs w:val="24"/>
        </w:rPr>
        <w:t>attività previste da convenzioni stipulate dall’Ateneo o dal Dipartimento;</w:t>
      </w:r>
    </w:p>
    <w:p w14:paraId="1FFA33B0" w14:textId="77777777" w:rsidR="0051282D" w:rsidRPr="000B448E" w:rsidRDefault="0051282D" w:rsidP="0051282D">
      <w:pPr>
        <w:pStyle w:val="TableParagraph"/>
        <w:numPr>
          <w:ilvl w:val="0"/>
          <w:numId w:val="19"/>
        </w:numPr>
        <w:tabs>
          <w:tab w:val="left" w:pos="851"/>
        </w:tabs>
        <w:ind w:left="851" w:right="41" w:hanging="283"/>
        <w:jc w:val="both"/>
        <w:rPr>
          <w:rFonts w:ascii="Times New Roman" w:hAnsi="Times New Roman" w:cs="Times New Roman"/>
          <w:sz w:val="24"/>
          <w:szCs w:val="24"/>
        </w:rPr>
      </w:pPr>
      <w:r w:rsidRPr="000B448E">
        <w:rPr>
          <w:rFonts w:ascii="Times New Roman" w:hAnsi="Times New Roman" w:cs="Times New Roman"/>
          <w:sz w:val="24"/>
          <w:szCs w:val="24"/>
        </w:rPr>
        <w:t>attività promosse dall’Ateneo per le quali sia individuata la coerenza con gli obiettivi formativi del CdS.</w:t>
      </w:r>
    </w:p>
    <w:p w14:paraId="5C9DA98C"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Le attività già riconosciute ai fini del raggiungimento dei requisiti curriculari per l’accesso al CCS EMMP non possono essere nuovamente riconosciute come crediti formativi nel percorso di studi EMMP.</w:t>
      </w:r>
    </w:p>
    <w:p w14:paraId="277E4C0F"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Il CCS EMMP si esprimerà sulla richiesta di riconoscimento di crediti formativi per attività “altre”, rispetto a quelle sopra indicate, se opportunamente supportate da documentazione da cui si evincano:</w:t>
      </w:r>
    </w:p>
    <w:p w14:paraId="33389A04"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 contenuti coerenti con gli obiettivi formativi del CdS;</w:t>
      </w:r>
    </w:p>
    <w:p w14:paraId="1D7958A2"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 impegno orario complessivo;</w:t>
      </w:r>
    </w:p>
    <w:p w14:paraId="5349F5C6" w14:textId="77777777" w:rsidR="0051282D" w:rsidRPr="000B448E" w:rsidRDefault="0051282D" w:rsidP="0051282D">
      <w:pPr>
        <w:pStyle w:val="TableParagraph"/>
        <w:ind w:left="0" w:right="41" w:firstLine="284"/>
        <w:jc w:val="both"/>
        <w:rPr>
          <w:rFonts w:ascii="Times New Roman" w:hAnsi="Times New Roman" w:cs="Times New Roman"/>
          <w:sz w:val="24"/>
          <w:szCs w:val="24"/>
        </w:rPr>
      </w:pPr>
      <w:r w:rsidRPr="000B448E">
        <w:rPr>
          <w:rFonts w:ascii="Times New Roman" w:hAnsi="Times New Roman" w:cs="Times New Roman"/>
          <w:sz w:val="24"/>
          <w:szCs w:val="24"/>
        </w:rPr>
        <w:t>- presenza di una prova finale di cui dovrà essere dimostrato il superamento.</w:t>
      </w:r>
    </w:p>
    <w:p w14:paraId="57668C3D"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I termini per la presentazione delle domande verranno resi noti sul sito web del Dipartimento e del Corso di studio.</w:t>
      </w:r>
    </w:p>
    <w:p w14:paraId="141EDBCD" w14:textId="77777777" w:rsidR="0051282D" w:rsidRPr="000B448E" w:rsidRDefault="0051282D" w:rsidP="0051282D">
      <w:pPr>
        <w:pStyle w:val="Default"/>
        <w:jc w:val="both"/>
        <w:rPr>
          <w:rFonts w:ascii="Times New Roman" w:hAnsi="Times New Roman" w:cs="Times New Roman"/>
          <w:strike/>
          <w:color w:val="auto"/>
        </w:rPr>
      </w:pPr>
    </w:p>
    <w:p w14:paraId="7EE30091"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lastRenderedPageBreak/>
        <w:t xml:space="preserve">Art. 9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Mobilità e studi compiuti all’estero</w:t>
      </w:r>
    </w:p>
    <w:p w14:paraId="6599A43F"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Il </w:t>
      </w:r>
      <w:r w:rsidRPr="00690344">
        <w:rPr>
          <w:rFonts w:ascii="Times New Roman" w:hAnsi="Times New Roman" w:cs="Times New Roman"/>
          <w:sz w:val="24"/>
          <w:szCs w:val="24"/>
        </w:rPr>
        <w:t xml:space="preserve">CCS EMMP </w:t>
      </w:r>
      <w:r w:rsidRPr="000B448E">
        <w:rPr>
          <w:rFonts w:ascii="Times New Roman" w:hAnsi="Times New Roman" w:cs="Times New Roman"/>
          <w:sz w:val="24"/>
          <w:szCs w:val="24"/>
        </w:rPr>
        <w:t xml:space="preserve">promuove e incoraggia la partecipazione degli studenti e dei Docenti ai programmi di mobilità e di scambi internazionali riconosciuti dall’Ateneo  anche con il riconoscimento di crediti “altri” e con una valorizzazione ai fini della valutazione conclusiva del percorso di studi. </w:t>
      </w:r>
    </w:p>
    <w:p w14:paraId="523F028A" w14:textId="77777777" w:rsidR="0051282D" w:rsidRPr="000B448E" w:rsidRDefault="0051282D" w:rsidP="0051282D">
      <w:pPr>
        <w:pStyle w:val="TableParagraph"/>
        <w:ind w:left="0" w:right="25"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Il conseguimento di CFU all’estero determina infatti un’attribuzione aggiuntiva di punteggio per la prova finale nei seguenti termini: </w:t>
      </w:r>
    </w:p>
    <w:p w14:paraId="5651596C" w14:textId="77777777" w:rsidR="0051282D" w:rsidRPr="000B448E" w:rsidRDefault="0051282D" w:rsidP="0051282D">
      <w:pPr>
        <w:pStyle w:val="Testocommento"/>
        <w:spacing w:after="0"/>
        <w:ind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 da 6 a 11 </w:t>
      </w:r>
      <w:r w:rsidRPr="000B448E">
        <w:rPr>
          <w:rFonts w:ascii="Times New Roman" w:hAnsi="Times New Roman" w:cs="Times New Roman"/>
          <w:caps/>
          <w:sz w:val="24"/>
          <w:szCs w:val="24"/>
        </w:rPr>
        <w:t>cfu</w:t>
      </w:r>
      <w:r w:rsidRPr="000B448E">
        <w:rPr>
          <w:rFonts w:ascii="Times New Roman" w:hAnsi="Times New Roman" w:cs="Times New Roman"/>
          <w:sz w:val="24"/>
          <w:szCs w:val="24"/>
        </w:rPr>
        <w:t xml:space="preserve">: + 0,5 punti; </w:t>
      </w:r>
    </w:p>
    <w:p w14:paraId="09E076A7" w14:textId="77777777" w:rsidR="0051282D" w:rsidRPr="000B448E" w:rsidRDefault="0051282D" w:rsidP="0051282D">
      <w:pPr>
        <w:pStyle w:val="Testocommento"/>
        <w:spacing w:after="0"/>
        <w:ind w:firstLine="284"/>
        <w:jc w:val="both"/>
        <w:rPr>
          <w:rFonts w:ascii="Times New Roman" w:hAnsi="Times New Roman" w:cs="Times New Roman"/>
          <w:sz w:val="24"/>
          <w:szCs w:val="24"/>
        </w:rPr>
      </w:pPr>
      <w:r w:rsidRPr="000B448E">
        <w:rPr>
          <w:rFonts w:ascii="Times New Roman" w:hAnsi="Times New Roman" w:cs="Times New Roman"/>
          <w:sz w:val="24"/>
          <w:szCs w:val="24"/>
        </w:rPr>
        <w:t xml:space="preserve">- da 12 a 18 </w:t>
      </w:r>
      <w:r w:rsidRPr="000B448E">
        <w:rPr>
          <w:rFonts w:ascii="Times New Roman" w:hAnsi="Times New Roman" w:cs="Times New Roman"/>
          <w:caps/>
          <w:sz w:val="24"/>
          <w:szCs w:val="24"/>
        </w:rPr>
        <w:t>cfu</w:t>
      </w:r>
      <w:r w:rsidRPr="000B448E">
        <w:rPr>
          <w:rFonts w:ascii="Times New Roman" w:hAnsi="Times New Roman" w:cs="Times New Roman"/>
          <w:sz w:val="24"/>
          <w:szCs w:val="24"/>
        </w:rPr>
        <w:t xml:space="preserve">: + 1 punto; </w:t>
      </w:r>
    </w:p>
    <w:p w14:paraId="0334A629" w14:textId="77777777" w:rsidR="0051282D" w:rsidRPr="000B448E" w:rsidRDefault="0051282D" w:rsidP="0051282D">
      <w:pPr>
        <w:pStyle w:val="Testocommento"/>
        <w:spacing w:after="0"/>
        <w:ind w:firstLine="284"/>
        <w:jc w:val="both"/>
        <w:rPr>
          <w:rFonts w:ascii="Times New Roman" w:hAnsi="Times New Roman" w:cs="Times New Roman"/>
          <w:sz w:val="24"/>
          <w:szCs w:val="24"/>
        </w:rPr>
      </w:pPr>
      <w:r w:rsidRPr="000B448E">
        <w:rPr>
          <w:rFonts w:ascii="Times New Roman" w:hAnsi="Times New Roman" w:cs="Times New Roman"/>
          <w:sz w:val="24"/>
          <w:szCs w:val="24"/>
        </w:rPr>
        <w:t>- oltre 18 CFU: + 2 punti.</w:t>
      </w:r>
    </w:p>
    <w:p w14:paraId="15D71CEF"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L’approvazione dei progetti degli studenti e la congruità complessiva delle attività proposte sono di competenza del Consiglio di Corso di studio magistrale previa istruttoria e valutazione positiva da parte della Commissione Mobilità Studentesca.</w:t>
      </w:r>
    </w:p>
    <w:p w14:paraId="787DAC7A" w14:textId="77777777" w:rsidR="0051282D" w:rsidRPr="000B448E" w:rsidRDefault="0051282D" w:rsidP="0051282D">
      <w:pPr>
        <w:pStyle w:val="Default"/>
        <w:jc w:val="both"/>
        <w:rPr>
          <w:rFonts w:ascii="Times New Roman" w:hAnsi="Times New Roman" w:cs="Times New Roman"/>
          <w:color w:val="auto"/>
          <w:highlight w:val="yellow"/>
        </w:rPr>
      </w:pPr>
    </w:p>
    <w:p w14:paraId="084EC93F" w14:textId="77777777" w:rsidR="0051282D" w:rsidRPr="000B448E" w:rsidRDefault="0051282D" w:rsidP="0051282D">
      <w:pPr>
        <w:pStyle w:val="Default"/>
        <w:spacing w:after="120"/>
        <w:jc w:val="both"/>
        <w:rPr>
          <w:rFonts w:ascii="Times New Roman" w:hAnsi="Times New Roman" w:cs="Times New Roman"/>
          <w:b/>
          <w:bCs/>
          <w:color w:val="auto"/>
        </w:rPr>
      </w:pPr>
      <w:r w:rsidRPr="004577F4">
        <w:rPr>
          <w:rFonts w:ascii="Times New Roman" w:hAnsi="Times New Roman" w:cs="Times New Roman"/>
          <w:b/>
          <w:bCs/>
          <w:color w:val="auto"/>
        </w:rPr>
        <w:t xml:space="preserve">Art. 10 </w:t>
      </w:r>
      <w:r w:rsidRPr="004577F4">
        <w:rPr>
          <w:rFonts w:ascii="Times New Roman" w:hAnsi="Times New Roman" w:cs="Times New Roman"/>
          <w:b/>
          <w:bCs/>
          <w:color w:val="auto"/>
        </w:rPr>
        <w:sym w:font="Symbol" w:char="F02D"/>
      </w:r>
      <w:r w:rsidRPr="004577F4">
        <w:rPr>
          <w:rFonts w:ascii="Times New Roman" w:hAnsi="Times New Roman" w:cs="Times New Roman"/>
          <w:b/>
          <w:bCs/>
          <w:color w:val="auto"/>
        </w:rPr>
        <w:t xml:space="preserve"> Prova finale</w:t>
      </w:r>
      <w:r w:rsidRPr="000B448E">
        <w:rPr>
          <w:rFonts w:ascii="Times New Roman" w:hAnsi="Times New Roman" w:cs="Times New Roman"/>
          <w:b/>
          <w:bCs/>
          <w:color w:val="auto"/>
        </w:rPr>
        <w:t xml:space="preserve"> </w:t>
      </w:r>
    </w:p>
    <w:p w14:paraId="518B325A"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La laurea magistrale in Economia e management marittimo e portuale si consegue previo superamento della prova finale che consiste nella presentazione e discussione, davanti ad apposita Commissione composta da almeno cinque Docenti, di un elaborato realizzato con la supervisione di almeno un Docente o Professore a contratto titolare di un insegnamento del CCS EMMP. </w:t>
      </w:r>
    </w:p>
    <w:p w14:paraId="641796F0"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Il Presidente è il garante del corretto svolgimento della prova, in particolare per quanto riguarda: l’impiego degli strumenti di ausilio; la garanzia di un tempo adeguato per</w:t>
      </w:r>
      <w:r>
        <w:rPr>
          <w:rFonts w:ascii="Times New Roman" w:hAnsi="Times New Roman" w:cs="Times New Roman"/>
          <w:sz w:val="24"/>
          <w:szCs w:val="24"/>
        </w:rPr>
        <w:t xml:space="preserve"> </w:t>
      </w:r>
      <w:r w:rsidRPr="00820622">
        <w:rPr>
          <w:rFonts w:ascii="Times New Roman" w:hAnsi="Times New Roman" w:cs="Times New Roman"/>
          <w:sz w:val="24"/>
          <w:szCs w:val="24"/>
        </w:rPr>
        <w:t xml:space="preserve">la presentazione e discussione dell’elaborato e la collegialità della sua valutazione; l’appropriatezza dei comportamenti di tutti i presenti (docenti, candidati, pubblico). Con il consenso del Relatore lo studente può utilizzare tabelle, funzioni, dati, immagini, etc. </w:t>
      </w:r>
    </w:p>
    <w:p w14:paraId="780652C5"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Il Correlatore appartiene preferibilmente all’area scientifica dell’insegnamento nel cui ambito è stata svolta la tesi, salvo richiesta di Correlatore di altra area, preventivamente formulata dal Relatore, per tesi di argomento interdisciplinare. </w:t>
      </w:r>
    </w:p>
    <w:p w14:paraId="25A24AC0" w14:textId="77777777" w:rsidR="0051282D" w:rsidRPr="00820622" w:rsidRDefault="0051282D" w:rsidP="0051282D">
      <w:pPr>
        <w:spacing w:after="0" w:line="240" w:lineRule="auto"/>
        <w:ind w:firstLine="284"/>
        <w:jc w:val="both"/>
        <w:rPr>
          <w:rFonts w:ascii="Times New Roman" w:hAnsi="Times New Roman" w:cs="Times New Roman"/>
          <w:sz w:val="24"/>
          <w:szCs w:val="24"/>
        </w:rPr>
      </w:pPr>
    </w:p>
    <w:p w14:paraId="5E1A72E7"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Alla prova finale si accede con la compilazione della domanda di laurea che dovrà essere presentata dallo studente (con conferma dell’apposita procedura online) solo avendo una carriera con tutti gli esami superati e registrati. </w:t>
      </w:r>
    </w:p>
    <w:p w14:paraId="37B6E8E0" w14:textId="77777777" w:rsidR="0051282D" w:rsidRPr="004577F4" w:rsidRDefault="0051282D" w:rsidP="0051282D">
      <w:pPr>
        <w:spacing w:after="0" w:line="240" w:lineRule="auto"/>
        <w:ind w:firstLine="284"/>
        <w:jc w:val="both"/>
        <w:rPr>
          <w:rFonts w:ascii="Times New Roman" w:hAnsi="Times New Roman" w:cs="Times New Roman"/>
          <w:sz w:val="24"/>
          <w:szCs w:val="24"/>
        </w:rPr>
      </w:pPr>
      <w:r w:rsidRPr="004577F4">
        <w:rPr>
          <w:rFonts w:ascii="Times New Roman" w:hAnsi="Times New Roman" w:cs="Times New Roman"/>
          <w:sz w:val="24"/>
          <w:szCs w:val="24"/>
        </w:rPr>
        <w:t xml:space="preserve">La tesi può avere ad oggetto argomenti legati a tutte le discipline del percorso quinquennale, purché coerenti con il quadro culturale e gli obiettivi formativi del CdS EMMP, nonché attinenti agli interessi e alle esperienze maturate dallo studente (es. tirocinio in Italia o all’estero, tesi svolta all’estero anche durante l’Erasmus). </w:t>
      </w:r>
    </w:p>
    <w:p w14:paraId="7F10B4DC" w14:textId="77777777" w:rsidR="0051282D" w:rsidRPr="00963131" w:rsidRDefault="0051282D" w:rsidP="0051282D">
      <w:pPr>
        <w:spacing w:after="0" w:line="240" w:lineRule="auto"/>
        <w:ind w:firstLine="284"/>
        <w:jc w:val="both"/>
        <w:rPr>
          <w:rFonts w:ascii="Times New Roman" w:hAnsi="Times New Roman" w:cs="Times New Roman"/>
          <w:sz w:val="24"/>
          <w:szCs w:val="24"/>
        </w:rPr>
      </w:pPr>
      <w:r w:rsidRPr="004577F4">
        <w:rPr>
          <w:rFonts w:ascii="Times New Roman" w:hAnsi="Times New Roman" w:cs="Times New Roman"/>
          <w:sz w:val="24"/>
          <w:szCs w:val="24"/>
        </w:rPr>
        <w:t xml:space="preserve">La tesi può essere richiesta a un qualunque docente del Dipartimento, purché titolare di insegnamento afferente ad un raggruppamento scientifico disciplinare presente nel piano di studi magistrale dello studente. Nel caso in cui con il docente individuato non sia stato sostenuto alcun esame nel percorso magistrale, è necessario ottenere preventiva autorizzazione da parte del Coordinatore. </w:t>
      </w:r>
      <w:r w:rsidRPr="00963131">
        <w:rPr>
          <w:rFonts w:ascii="Times New Roman" w:hAnsi="Times New Roman" w:cs="Times New Roman"/>
          <w:sz w:val="24"/>
          <w:szCs w:val="24"/>
        </w:rPr>
        <w:t>La tesi di laurea magistrale deve caratterizzarsi per l’originalità del tema, del metodo e/o dei risultati ottenuti, nonché per un rigoroso metodo di ricerca, completi ed aggiornati riferimenti bibliografici, approfondita conoscenza della materia e capacità di analisi critica.</w:t>
      </w:r>
    </w:p>
    <w:p w14:paraId="3EF753CF" w14:textId="77777777" w:rsidR="0051282D" w:rsidRDefault="0051282D" w:rsidP="0051282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Relatore, motivandone le ragioni scientifiche e culturali, può decidere che la tesi sia redatta in lingua inglese. In tal caso dovrà essere predisposto un abstract in lingua italiana. </w:t>
      </w:r>
    </w:p>
    <w:p w14:paraId="3156F7A7"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lastRenderedPageBreak/>
        <w:t xml:space="preserve">La valutazione della Tesi verterà sull’acquisizione delle seguenti competenze: 1. Essere in grado di svolgere un lavoro autonomo applicando le conoscenze acquisite nel percorso di studi; 2. Sapersi documentare e informare in modo corretto, ricercando fonti, recuperando materiale di carattere scientifico coerente con la tematica sviluppata, anche utilizzando le risorse elettroniche messe a disposizione dalle fonti ufficiali e dal Centro di Servizi Bibliotecari dell’Ateneo; 3. Saper scrivere il risultato del proprio lavoro in maniera adeguata secondo la tipologia della disciplina di riferimento, in modo approfondito, critico ed originale, utilizzando termini corretti, citando precisamente le fonti e la bibliografia di riferimento; 4. Essere in grado di presentare oralmente alla Commissione il lavoro svolto e di discutere in modo efficace sulle questioni poste dai membri della Commissione. </w:t>
      </w:r>
    </w:p>
    <w:p w14:paraId="70679822"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La valutazione conclusiva è espressa in centodecimi. </w:t>
      </w:r>
    </w:p>
    <w:p w14:paraId="514441B8"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Contribuisce a formare il voto di Laurea magistrale la media ponderata dei voti acquisiti durante la carriera. Il voto 30 e lode, conseguito in un esame, si traduce in 31 qualsiasi sia il numero di CFU dell’insegnamento. </w:t>
      </w:r>
    </w:p>
    <w:p w14:paraId="429A02F0"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Il voto finale sintetizza tutta la carriera dello studente, tenendo conto sia del raggiungimento da parte dello stesso degli obiettivi formativi del CdS EMMP, sia della coerenza e validità complessiva del proprio progetto formativo individuale, costruito con adeguati gradi di libertà anche su attività e saperi non strettamente curriculari. </w:t>
      </w:r>
    </w:p>
    <w:p w14:paraId="296F9BE3"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Il voto finale risulta dalla somma di quattro elementi: </w:t>
      </w:r>
    </w:p>
    <w:p w14:paraId="39BC201E"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1. la media curriculare (espressa in centodecimi): è costituita dalla media aritmetica delle votazioni riportate negli esami sostenuti dallo studente, ponderata in relazione al numero di CFU attribuiti a ciascun insegnamento o Altre attività formative; </w:t>
      </w:r>
    </w:p>
    <w:p w14:paraId="0128F1C6"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2. il numero di cfu conseguiti all’estero, secondo il seguente dettaglio: • da 6 a 11 CFU, aggiunta di 0,5 punti; • da 12 a 18 CFU, aggiunta di 1 punto; • oltre 18 CFU, aggiunta di 2 punti; 3. la valutazione della prova finale. </w:t>
      </w:r>
    </w:p>
    <w:p w14:paraId="1ACFE85D"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Il punteggio massimo complessivo attribuibile alla prova finale è pari a 8 punti così assegnati: • punteggio variabile da 0 a 6 punti alla qualità dell’elaborato; • punteggio variabile da 0 a 2 punti alla capacità di presentare e discutere l’elaborato, rispondendo alle domande formulate dal Correlatore e dalla Commissione. Il voto finale deriva da un unico arrotondamento effettuato sul punteggio risultante dalla somma di tutti gli elementi precedenti. </w:t>
      </w:r>
    </w:p>
    <w:p w14:paraId="3511EA70"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L’arrotondamento avviene: • per difetto, laddove il primo decimale sia minore di 5; • per eccesso, laddove il primo decimale sia uguale o maggiore di 5. </w:t>
      </w:r>
    </w:p>
    <w:p w14:paraId="0B5BA7F0"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Su proposta del Relatore, la Commissione all’unanimità può attribuire la lode, nel caso in cui il punteggio raggiunga (o superi) 110 purché il punteggio di carriera sia di almeno 104 e vi sia l’attribuzione massima per l’elaborato e la sua esposizione. </w:t>
      </w:r>
    </w:p>
    <w:p w14:paraId="56466AD4" w14:textId="77777777" w:rsidR="0051282D" w:rsidRPr="00820622" w:rsidRDefault="0051282D" w:rsidP="0051282D">
      <w:pPr>
        <w:spacing w:after="0" w:line="240" w:lineRule="auto"/>
        <w:ind w:firstLine="284"/>
        <w:jc w:val="both"/>
        <w:rPr>
          <w:rFonts w:ascii="Times New Roman" w:hAnsi="Times New Roman" w:cs="Times New Roman"/>
          <w:sz w:val="24"/>
          <w:szCs w:val="24"/>
        </w:rPr>
      </w:pPr>
      <w:r w:rsidRPr="00820622">
        <w:rPr>
          <w:rFonts w:ascii="Times New Roman" w:hAnsi="Times New Roman" w:cs="Times New Roman"/>
          <w:sz w:val="24"/>
          <w:szCs w:val="24"/>
        </w:rPr>
        <w:t xml:space="preserve">La richiesta della dignità di stampa deve essere preventivamente comunicata dal Relatore, con adeguate motivazioni scritte, alla Direzione del Dipartimento. Il Direttore provvede a nominare due correlatori ed a trasmettere ai membri della Commissione la richiesta motivata. </w:t>
      </w:r>
    </w:p>
    <w:p w14:paraId="667D37E5" w14:textId="77777777" w:rsidR="0051282D" w:rsidRPr="00820622" w:rsidRDefault="0051282D" w:rsidP="0051282D">
      <w:pPr>
        <w:pStyle w:val="Default"/>
        <w:ind w:firstLine="284"/>
        <w:jc w:val="both"/>
        <w:rPr>
          <w:rFonts w:ascii="Times New Roman" w:hAnsi="Times New Roman" w:cs="Times New Roman"/>
          <w:color w:val="auto"/>
        </w:rPr>
      </w:pPr>
      <w:r w:rsidRPr="00820622">
        <w:rPr>
          <w:rFonts w:ascii="Times New Roman" w:hAnsi="Times New Roman" w:cs="Times New Roman"/>
        </w:rPr>
        <w:t>Il dettaglio del calendario delle sessioni di laurea (con scadenze), delle modalità di iscrizione e procedure per laurearsi, delle caratteristiche della tesi di laurea magistrale, della presentazione e discussione della tesi, dei criteri di valutazione delle carriere e di attribuzione del voto finale ed altre informazioni utili sono pubblicate nel sito web del Dipartimento e del Corso di studio.</w:t>
      </w:r>
    </w:p>
    <w:p w14:paraId="6CD62B7F" w14:textId="77777777" w:rsidR="0051282D" w:rsidRDefault="0051282D" w:rsidP="0051282D">
      <w:pPr>
        <w:pStyle w:val="Default"/>
        <w:spacing w:after="120"/>
        <w:jc w:val="both"/>
        <w:rPr>
          <w:rFonts w:ascii="Times New Roman" w:hAnsi="Times New Roman" w:cs="Times New Roman"/>
          <w:b/>
          <w:bCs/>
          <w:color w:val="auto"/>
        </w:rPr>
      </w:pPr>
    </w:p>
    <w:p w14:paraId="6F4FA922"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11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 xml:space="preserve">Orientamento e tutorato </w:t>
      </w:r>
    </w:p>
    <w:p w14:paraId="5E18833F" w14:textId="77777777" w:rsidR="0051282D" w:rsidRPr="000B448E" w:rsidRDefault="0051282D" w:rsidP="0051282D">
      <w:pPr>
        <w:pStyle w:val="corpodeltesto"/>
        <w:ind w:firstLine="284"/>
        <w:jc w:val="both"/>
        <w:rPr>
          <w:rFonts w:ascii="Times New Roman" w:eastAsiaTheme="minorHAnsi" w:hAnsi="Times New Roman"/>
          <w:sz w:val="24"/>
          <w:szCs w:val="24"/>
          <w:lang w:eastAsia="en-US"/>
        </w:rPr>
      </w:pPr>
      <w:bookmarkStart w:id="1" w:name="_Hlk164255834"/>
      <w:r w:rsidRPr="000B448E">
        <w:rPr>
          <w:rFonts w:ascii="Times New Roman" w:eastAsiaTheme="minorHAnsi" w:hAnsi="Times New Roman"/>
          <w:sz w:val="24"/>
          <w:szCs w:val="24"/>
          <w:lang w:eastAsia="en-US"/>
        </w:rPr>
        <w:lastRenderedPageBreak/>
        <w:t>Il CdS EMMP partecipa alle attività di orientamento e tutorato organizzate dal Dipartimento di Economia per i corsi di laurea magistrale, integrandole con iniziative proprie volte a:</w:t>
      </w:r>
    </w:p>
    <w:p w14:paraId="6D6FF880" w14:textId="77777777" w:rsidR="0051282D" w:rsidRPr="000B448E" w:rsidRDefault="0051282D" w:rsidP="0051282D">
      <w:pPr>
        <w:pStyle w:val="corpodeltesto"/>
        <w:tabs>
          <w:tab w:val="left" w:pos="567"/>
        </w:tabs>
        <w:ind w:left="567" w:hanging="283"/>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0B448E">
        <w:rPr>
          <w:rFonts w:ascii="Times New Roman" w:eastAsiaTheme="minorHAnsi" w:hAnsi="Times New Roman"/>
          <w:sz w:val="24"/>
          <w:szCs w:val="24"/>
          <w:lang w:eastAsia="en-US"/>
        </w:rPr>
        <w:t>incrementare le occasioni di approfondimento sulle specificità del CdS EMMP per favorire una scelta di iscrizione consapevole e altamente motivata;</w:t>
      </w:r>
    </w:p>
    <w:p w14:paraId="7B9D46EC" w14:textId="77777777" w:rsidR="0051282D" w:rsidRPr="000B448E" w:rsidRDefault="0051282D" w:rsidP="0051282D">
      <w:pPr>
        <w:pStyle w:val="corpodeltesto"/>
        <w:tabs>
          <w:tab w:val="left" w:pos="567"/>
        </w:tabs>
        <w:ind w:left="567" w:hanging="283"/>
        <w:jc w:val="both"/>
        <w:rPr>
          <w:rFonts w:ascii="Times New Roman" w:eastAsiaTheme="minorHAnsi" w:hAnsi="Times New Roman"/>
          <w:sz w:val="24"/>
          <w:szCs w:val="24"/>
          <w:lang w:eastAsia="en-US"/>
        </w:rPr>
      </w:pPr>
      <w:r>
        <w:rPr>
          <w:rFonts w:ascii="Times New Roman" w:hAnsi="Times New Roman"/>
          <w:sz w:val="24"/>
          <w:szCs w:val="24"/>
        </w:rPr>
        <w:t xml:space="preserve">-   </w:t>
      </w:r>
      <w:r w:rsidRPr="000B448E">
        <w:rPr>
          <w:rFonts w:ascii="Times New Roman" w:hAnsi="Times New Roman"/>
          <w:sz w:val="24"/>
          <w:szCs w:val="24"/>
        </w:rPr>
        <w:t>monitorare eventuali criticità nello svolgimento delle carriere degli studenti e porre in essere iniziative correlate</w:t>
      </w:r>
      <w:r w:rsidRPr="000B448E">
        <w:rPr>
          <w:rFonts w:ascii="Times New Roman" w:eastAsiaTheme="minorHAnsi" w:hAnsi="Times New Roman"/>
          <w:sz w:val="24"/>
          <w:szCs w:val="24"/>
          <w:lang w:eastAsia="en-US"/>
        </w:rPr>
        <w:t>;</w:t>
      </w:r>
    </w:p>
    <w:p w14:paraId="5BB6D8D3" w14:textId="77777777" w:rsidR="0051282D" w:rsidRPr="000B448E" w:rsidRDefault="0051282D" w:rsidP="0051282D">
      <w:pPr>
        <w:pStyle w:val="corpodeltesto"/>
        <w:tabs>
          <w:tab w:val="left" w:pos="567"/>
        </w:tabs>
        <w:ind w:left="567" w:hanging="283"/>
        <w:jc w:val="both"/>
        <w:rPr>
          <w:rFonts w:ascii="Times New Roman" w:hAnsi="Times New Roman"/>
          <w:sz w:val="24"/>
          <w:szCs w:val="24"/>
        </w:rPr>
      </w:pPr>
      <w:r>
        <w:rPr>
          <w:rFonts w:ascii="Times New Roman" w:hAnsi="Times New Roman"/>
          <w:sz w:val="24"/>
          <w:szCs w:val="24"/>
        </w:rPr>
        <w:t xml:space="preserve">-   </w:t>
      </w:r>
      <w:r w:rsidRPr="000B448E">
        <w:rPr>
          <w:rFonts w:ascii="Times New Roman" w:hAnsi="Times New Roman"/>
          <w:sz w:val="24"/>
          <w:szCs w:val="24"/>
        </w:rPr>
        <w:t>proporre iniziative mirate al sostegno per l’inserimento nel mondo del lavoro.</w:t>
      </w:r>
    </w:p>
    <w:p w14:paraId="10A8F1B2" w14:textId="77777777" w:rsidR="0051282D" w:rsidRPr="000B448E" w:rsidRDefault="0051282D" w:rsidP="0051282D">
      <w:pPr>
        <w:pStyle w:val="corpodeltesto"/>
        <w:ind w:firstLine="284"/>
        <w:jc w:val="both"/>
        <w:rPr>
          <w:rFonts w:ascii="Times New Roman" w:hAnsi="Times New Roman"/>
          <w:sz w:val="24"/>
          <w:szCs w:val="24"/>
          <w:lang w:bidi="it-IT"/>
        </w:rPr>
      </w:pPr>
      <w:bookmarkStart w:id="2" w:name="_Hlk164256003"/>
      <w:bookmarkEnd w:id="1"/>
      <w:r w:rsidRPr="000B448E">
        <w:rPr>
          <w:rFonts w:ascii="Times New Roman" w:hAnsi="Times New Roman"/>
          <w:sz w:val="24"/>
          <w:szCs w:val="24"/>
          <w:lang w:bidi="it-IT"/>
        </w:rPr>
        <w:t>I docenti tutor partecipano attivamente alle attività di orientamento svolgendo compiti di tutorato di accoglienza a favore degli studenti, segnalando al Coordinatore le criticità che necessitano dell’attivazione di tutorato didattico, suggerendo iniziative di miglioramento della gestione delle attività didattiche del Corso.</w:t>
      </w:r>
    </w:p>
    <w:p w14:paraId="3C4CE160" w14:textId="77777777" w:rsidR="0051282D" w:rsidRPr="0070624A" w:rsidRDefault="0051282D" w:rsidP="0051282D">
      <w:pPr>
        <w:pStyle w:val="Default"/>
        <w:ind w:firstLine="284"/>
        <w:jc w:val="both"/>
        <w:rPr>
          <w:rFonts w:ascii="Times New Roman" w:eastAsia="Times New Roman" w:hAnsi="Times New Roman" w:cs="Times New Roman"/>
          <w:color w:val="auto"/>
          <w:lang w:eastAsia="it-IT" w:bidi="it-IT"/>
        </w:rPr>
      </w:pPr>
      <w:r w:rsidRPr="0070624A">
        <w:rPr>
          <w:rFonts w:ascii="Times New Roman" w:eastAsia="Times New Roman" w:hAnsi="Times New Roman" w:cs="Times New Roman"/>
          <w:color w:val="auto"/>
          <w:lang w:eastAsia="it-IT" w:bidi="it-IT"/>
        </w:rPr>
        <w:t>Il tutorato degli studenti iscritti al corso di LM EMMP rientra nei compiti didattici dei docenti.</w:t>
      </w:r>
    </w:p>
    <w:p w14:paraId="6C6F040D" w14:textId="77777777" w:rsidR="0051282D" w:rsidRPr="000B448E" w:rsidRDefault="0051282D" w:rsidP="0051282D">
      <w:pPr>
        <w:pStyle w:val="Default"/>
        <w:ind w:firstLine="284"/>
        <w:jc w:val="both"/>
        <w:rPr>
          <w:rFonts w:ascii="Times New Roman" w:hAnsi="Times New Roman" w:cs="Times New Roman"/>
          <w:color w:val="auto"/>
          <w:highlight w:val="yellow"/>
        </w:rPr>
      </w:pPr>
      <w:r w:rsidRPr="000B448E">
        <w:rPr>
          <w:rFonts w:ascii="Times New Roman" w:hAnsi="Times New Roman" w:cs="Times New Roman"/>
          <w:color w:val="auto"/>
        </w:rPr>
        <w:t>I nominativi dei Docenti Tutor nonché i rispettivi contatti sono reperibili nel Manifesto degli Studi e sul sito web del Dipartimento e del Corso di studio.</w:t>
      </w:r>
    </w:p>
    <w:bookmarkEnd w:id="2"/>
    <w:p w14:paraId="79FB614D" w14:textId="77777777" w:rsidR="0051282D" w:rsidRPr="000B448E" w:rsidRDefault="0051282D" w:rsidP="0051282D">
      <w:pPr>
        <w:pStyle w:val="Default"/>
        <w:jc w:val="both"/>
        <w:rPr>
          <w:rFonts w:ascii="Times New Roman" w:hAnsi="Times New Roman" w:cs="Times New Roman"/>
          <w:color w:val="auto"/>
          <w:highlight w:val="yellow"/>
        </w:rPr>
      </w:pPr>
    </w:p>
    <w:p w14:paraId="3BD0CD78"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 xml:space="preserve">Art. 12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 xml:space="preserve">Verifica periodica dei crediti </w:t>
      </w:r>
    </w:p>
    <w:p w14:paraId="5467503B" w14:textId="77777777" w:rsidR="0051282D" w:rsidRPr="000B448E"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Ogni anno il CCS EMMP verifica se i CFU attribuiti a ciascuna attività formativa sono coerenti con gli obiettivi formativi.</w:t>
      </w:r>
    </w:p>
    <w:p w14:paraId="1A7DC6E5" w14:textId="77777777" w:rsidR="0051282D" w:rsidRPr="000B448E" w:rsidRDefault="0051282D" w:rsidP="0051282D">
      <w:pPr>
        <w:pStyle w:val="Default"/>
        <w:jc w:val="both"/>
        <w:rPr>
          <w:rFonts w:ascii="Times New Roman" w:hAnsi="Times New Roman" w:cs="Times New Roman"/>
          <w:b/>
          <w:bCs/>
          <w:color w:val="auto"/>
        </w:rPr>
      </w:pPr>
    </w:p>
    <w:p w14:paraId="66440266" w14:textId="77777777" w:rsidR="0051282D" w:rsidRPr="000B448E" w:rsidRDefault="0051282D" w:rsidP="0051282D">
      <w:pPr>
        <w:pStyle w:val="Default"/>
        <w:spacing w:after="120"/>
        <w:jc w:val="both"/>
        <w:rPr>
          <w:rFonts w:ascii="Times New Roman" w:hAnsi="Times New Roman" w:cs="Times New Roman"/>
          <w:color w:val="auto"/>
        </w:rPr>
      </w:pPr>
      <w:r w:rsidRPr="000B448E">
        <w:rPr>
          <w:rFonts w:ascii="Times New Roman" w:hAnsi="Times New Roman" w:cs="Times New Roman"/>
          <w:b/>
          <w:bCs/>
          <w:color w:val="auto"/>
        </w:rPr>
        <w:t xml:space="preserve">Art. 13 </w:t>
      </w:r>
      <w:r>
        <w:rPr>
          <w:rFonts w:ascii="Times New Roman" w:hAnsi="Times New Roman" w:cs="Times New Roman"/>
          <w:b/>
          <w:bCs/>
          <w:color w:val="auto"/>
        </w:rPr>
        <w:sym w:font="Symbol" w:char="F02D"/>
      </w:r>
      <w:r>
        <w:rPr>
          <w:rFonts w:ascii="Times New Roman" w:hAnsi="Times New Roman" w:cs="Times New Roman"/>
          <w:b/>
          <w:bCs/>
          <w:color w:val="auto"/>
        </w:rPr>
        <w:t xml:space="preserve"> </w:t>
      </w:r>
      <w:r w:rsidRPr="000B448E">
        <w:rPr>
          <w:rFonts w:ascii="Times New Roman" w:hAnsi="Times New Roman" w:cs="Times New Roman"/>
          <w:b/>
          <w:bCs/>
          <w:color w:val="auto"/>
        </w:rPr>
        <w:t>Consulta</w:t>
      </w:r>
    </w:p>
    <w:p w14:paraId="5A1D00A2"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Il CCS EMMP verifica, attraverso una Consulta formata da Docenti del Consiglio</w:t>
      </w:r>
      <w:r>
        <w:rPr>
          <w:rFonts w:ascii="Times New Roman" w:hAnsi="Times New Roman" w:cs="Times New Roman"/>
          <w:color w:val="auto"/>
        </w:rPr>
        <w:t xml:space="preserve"> del Corso</w:t>
      </w:r>
      <w:r w:rsidRPr="000B448E">
        <w:rPr>
          <w:rFonts w:ascii="Times New Roman" w:hAnsi="Times New Roman" w:cs="Times New Roman"/>
          <w:color w:val="auto"/>
        </w:rPr>
        <w:t xml:space="preserve">, da rappresentanti del mondo delle istituzioni, dell’amministrazione pubblica, delle organizzazioni </w:t>
      </w:r>
      <w:r w:rsidRPr="00467F07">
        <w:rPr>
          <w:rFonts w:ascii="Times New Roman" w:hAnsi="Times New Roman" w:cs="Times New Roman"/>
          <w:color w:val="auto"/>
        </w:rPr>
        <w:t>complesse</w:t>
      </w:r>
      <w:r w:rsidRPr="000B448E">
        <w:rPr>
          <w:rFonts w:ascii="Times New Roman" w:hAnsi="Times New Roman" w:cs="Times New Roman"/>
          <w:color w:val="auto"/>
        </w:rPr>
        <w:t xml:space="preserve">, delle imprese private di produzione di beni e di erogazione di servizi e delle professioni, le esigenze formative del mercato del lavoro, al fine di definire le figure e i profili professionali che si intendono formare, attraverso un costante aggiornamento della proposta formativa. </w:t>
      </w:r>
    </w:p>
    <w:p w14:paraId="25AE312D" w14:textId="77777777" w:rsidR="0051282D" w:rsidRPr="000B448E" w:rsidRDefault="0051282D" w:rsidP="0051282D">
      <w:pPr>
        <w:pStyle w:val="Default"/>
        <w:jc w:val="both"/>
        <w:rPr>
          <w:rFonts w:ascii="Times New Roman" w:hAnsi="Times New Roman" w:cs="Times New Roman"/>
          <w:color w:val="auto"/>
          <w:highlight w:val="yellow"/>
        </w:rPr>
      </w:pPr>
    </w:p>
    <w:p w14:paraId="26A15B86" w14:textId="77777777" w:rsidR="0051282D" w:rsidRPr="000B448E" w:rsidRDefault="0051282D" w:rsidP="0051282D">
      <w:pPr>
        <w:pStyle w:val="Default"/>
        <w:spacing w:after="120"/>
        <w:jc w:val="both"/>
        <w:rPr>
          <w:rFonts w:ascii="Times New Roman" w:hAnsi="Times New Roman" w:cs="Times New Roman"/>
          <w:b/>
          <w:bCs/>
          <w:color w:val="auto"/>
        </w:rPr>
      </w:pPr>
      <w:r w:rsidRPr="000B448E">
        <w:rPr>
          <w:rFonts w:ascii="Times New Roman" w:hAnsi="Times New Roman" w:cs="Times New Roman"/>
          <w:b/>
          <w:bCs/>
          <w:color w:val="auto"/>
        </w:rPr>
        <w:t>Art. 14</w:t>
      </w:r>
      <w:r>
        <w:rPr>
          <w:rFonts w:ascii="Times New Roman" w:hAnsi="Times New Roman" w:cs="Times New Roman"/>
          <w:b/>
          <w:bCs/>
          <w:color w:val="auto"/>
        </w:rPr>
        <w:t xml:space="preserve"> </w:t>
      </w:r>
      <w:r>
        <w:rPr>
          <w:rFonts w:ascii="Times New Roman" w:hAnsi="Times New Roman" w:cs="Times New Roman"/>
          <w:b/>
          <w:bCs/>
          <w:color w:val="auto"/>
        </w:rPr>
        <w:sym w:font="Symbol" w:char="F02D"/>
      </w:r>
      <w:r w:rsidRPr="000B448E">
        <w:rPr>
          <w:rFonts w:ascii="Times New Roman" w:hAnsi="Times New Roman" w:cs="Times New Roman"/>
          <w:b/>
          <w:bCs/>
          <w:color w:val="auto"/>
        </w:rPr>
        <w:t xml:space="preserve"> AQ del Corso di studio  </w:t>
      </w:r>
    </w:p>
    <w:p w14:paraId="1740E4CC"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t xml:space="preserve">Il controllo dello svolgimento delle attività formative avviene attraverso la raccolta delle opinioni degli studenti sulle attività formative previste dai piani di studio in conformità con gli obiettivi, il monitoraggio degli esiti degli esami di profitto e della durata delle carriere universitarie, i dati forniti dall’Ufficio statistico di Ateneo, la raccolta delle opinioni dei Laureati (AlmaLaurea), la Relazione annuale della CPDS ed ogni altro documento/relazione utile. È prevista, inoltre, la raccolta delle opinioni dei docenti sui loro insegnamenti.  L’autovalutazione sarà effettuata dalla Commissione per l’Assicurazione della Qualità (Commissione AQ) del Corso di studio magistrale sulla base delle linee guida indicate dal MUR e dall’Ateneo. </w:t>
      </w:r>
    </w:p>
    <w:p w14:paraId="2F9613AB" w14:textId="77777777" w:rsidR="0051282D" w:rsidRPr="000B448E" w:rsidRDefault="0051282D" w:rsidP="0051282D">
      <w:pPr>
        <w:pStyle w:val="Default"/>
        <w:jc w:val="both"/>
        <w:rPr>
          <w:rFonts w:ascii="Times New Roman" w:hAnsi="Times New Roman" w:cs="Times New Roman"/>
          <w:color w:val="auto"/>
        </w:rPr>
      </w:pPr>
    </w:p>
    <w:p w14:paraId="2B7D4B62" w14:textId="77777777" w:rsidR="0051282D" w:rsidRPr="000B448E" w:rsidRDefault="0051282D" w:rsidP="0051282D">
      <w:pPr>
        <w:spacing w:after="120" w:line="240" w:lineRule="auto"/>
        <w:jc w:val="both"/>
        <w:rPr>
          <w:rFonts w:ascii="Times New Roman" w:hAnsi="Times New Roman" w:cs="Times New Roman"/>
          <w:b/>
          <w:bCs/>
          <w:sz w:val="24"/>
          <w:szCs w:val="24"/>
        </w:rPr>
      </w:pPr>
      <w:r w:rsidRPr="000B448E">
        <w:rPr>
          <w:rFonts w:ascii="Times New Roman" w:hAnsi="Times New Roman" w:cs="Times New Roman"/>
          <w:b/>
          <w:bCs/>
          <w:sz w:val="24"/>
          <w:szCs w:val="24"/>
        </w:rPr>
        <w:t>Art. 15</w:t>
      </w:r>
      <w:r>
        <w:rPr>
          <w:rFonts w:ascii="Times New Roman" w:hAnsi="Times New Roman" w:cs="Times New Roman"/>
          <w:b/>
          <w:bCs/>
          <w:sz w:val="24"/>
          <w:szCs w:val="24"/>
        </w:rPr>
        <w:t xml:space="preserve"> </w:t>
      </w:r>
      <w:r>
        <w:rPr>
          <w:rFonts w:ascii="Times New Roman" w:hAnsi="Times New Roman" w:cs="Times New Roman"/>
          <w:b/>
          <w:bCs/>
        </w:rPr>
        <w:sym w:font="Symbol" w:char="F02D"/>
      </w:r>
      <w:r w:rsidRPr="000B448E">
        <w:rPr>
          <w:rFonts w:ascii="Times New Roman" w:hAnsi="Times New Roman" w:cs="Times New Roman"/>
          <w:b/>
          <w:bCs/>
          <w:sz w:val="24"/>
          <w:szCs w:val="24"/>
        </w:rPr>
        <w:t xml:space="preserve"> Approvazione e revisione </w:t>
      </w:r>
    </w:p>
    <w:p w14:paraId="00C1B44A" w14:textId="77777777" w:rsidR="0051282D" w:rsidRPr="000B448E" w:rsidRDefault="0051282D" w:rsidP="0051282D">
      <w:pPr>
        <w:pStyle w:val="Default"/>
        <w:ind w:firstLine="284"/>
        <w:jc w:val="both"/>
        <w:rPr>
          <w:rFonts w:ascii="Times New Roman" w:hAnsi="Times New Roman" w:cs="Times New Roman"/>
          <w:color w:val="auto"/>
        </w:rPr>
      </w:pPr>
      <w:r w:rsidRPr="000B448E">
        <w:rPr>
          <w:rFonts w:ascii="Times New Roman" w:hAnsi="Times New Roman" w:cs="Times New Roman"/>
          <w:color w:val="auto"/>
        </w:rPr>
        <w:lastRenderedPageBreak/>
        <w:t xml:space="preserve">Ai sensi </w:t>
      </w:r>
      <w:r w:rsidRPr="0070624A">
        <w:rPr>
          <w:rFonts w:ascii="Times New Roman" w:hAnsi="Times New Roman" w:cs="Times New Roman"/>
          <w:color w:val="auto"/>
        </w:rPr>
        <w:t>dell’art</w:t>
      </w:r>
      <w:r>
        <w:rPr>
          <w:rFonts w:ascii="Times New Roman" w:hAnsi="Times New Roman" w:cs="Times New Roman"/>
          <w:color w:val="auto"/>
        </w:rPr>
        <w:t xml:space="preserve">. </w:t>
      </w:r>
      <w:r w:rsidRPr="0070624A">
        <w:rPr>
          <w:rFonts w:ascii="Times New Roman" w:hAnsi="Times New Roman" w:cs="Times New Roman"/>
          <w:color w:val="auto"/>
        </w:rPr>
        <w:t>25</w:t>
      </w:r>
      <w:r>
        <w:rPr>
          <w:rFonts w:ascii="Times New Roman" w:hAnsi="Times New Roman" w:cs="Times New Roman"/>
          <w:color w:val="auto"/>
        </w:rPr>
        <w:t xml:space="preserve"> </w:t>
      </w:r>
      <w:r w:rsidRPr="0070624A">
        <w:rPr>
          <w:rFonts w:ascii="Times New Roman" w:hAnsi="Times New Roman" w:cs="Times New Roman"/>
          <w:color w:val="auto"/>
        </w:rPr>
        <w:t>del Regolamento Didattico di Ateneo</w:t>
      </w:r>
      <w:r w:rsidRPr="00690344">
        <w:rPr>
          <w:rFonts w:ascii="Times New Roman" w:hAnsi="Times New Roman" w:cs="Times New Roman"/>
          <w:color w:val="auto"/>
        </w:rPr>
        <w:t>, il presente Regolamento e le sue successive revisioni sono approvati dal CCS EMMP a maggioranza dei componenti</w:t>
      </w:r>
      <w:r w:rsidRPr="000B448E">
        <w:rPr>
          <w:rFonts w:ascii="Times New Roman" w:hAnsi="Times New Roman" w:cs="Times New Roman"/>
          <w:color w:val="auto"/>
        </w:rPr>
        <w:t xml:space="preserve"> e sottoposti all’approvazione del Consiglio di Dipartimento di Economia, sentita la Scuola di scienze sociali.</w:t>
      </w:r>
    </w:p>
    <w:p w14:paraId="222E2B83" w14:textId="77777777" w:rsidR="0051282D" w:rsidRPr="000B448E" w:rsidRDefault="0051282D" w:rsidP="0051282D">
      <w:pPr>
        <w:pStyle w:val="Default"/>
        <w:jc w:val="both"/>
        <w:rPr>
          <w:rFonts w:ascii="Times New Roman" w:hAnsi="Times New Roman" w:cs="Times New Roman"/>
          <w:color w:val="auto"/>
        </w:rPr>
      </w:pPr>
    </w:p>
    <w:p w14:paraId="60481602" w14:textId="77777777" w:rsidR="0051282D" w:rsidRPr="000B448E" w:rsidRDefault="0051282D" w:rsidP="0051282D">
      <w:pPr>
        <w:pStyle w:val="Default"/>
        <w:spacing w:after="120"/>
        <w:jc w:val="both"/>
        <w:rPr>
          <w:rFonts w:ascii="Times New Roman" w:hAnsi="Times New Roman" w:cs="Times New Roman"/>
          <w:b/>
          <w:color w:val="auto"/>
        </w:rPr>
      </w:pPr>
      <w:r w:rsidRPr="000B448E">
        <w:rPr>
          <w:rFonts w:ascii="Times New Roman" w:hAnsi="Times New Roman" w:cs="Times New Roman"/>
          <w:b/>
          <w:color w:val="auto"/>
        </w:rPr>
        <w:t>Art. 16</w:t>
      </w:r>
      <w:r>
        <w:rPr>
          <w:rFonts w:ascii="Times New Roman" w:hAnsi="Times New Roman" w:cs="Times New Roman"/>
          <w:b/>
          <w:color w:val="auto"/>
        </w:rPr>
        <w:t xml:space="preserve"> </w:t>
      </w:r>
      <w:r>
        <w:rPr>
          <w:rFonts w:ascii="Times New Roman" w:hAnsi="Times New Roman" w:cs="Times New Roman"/>
          <w:b/>
          <w:bCs/>
          <w:color w:val="auto"/>
        </w:rPr>
        <w:sym w:font="Symbol" w:char="F02D"/>
      </w:r>
      <w:r w:rsidRPr="000B448E">
        <w:rPr>
          <w:rFonts w:ascii="Times New Roman" w:hAnsi="Times New Roman" w:cs="Times New Roman"/>
          <w:b/>
          <w:color w:val="auto"/>
        </w:rPr>
        <w:t xml:space="preserve"> Norme di rinvio</w:t>
      </w:r>
    </w:p>
    <w:p w14:paraId="488132C4" w14:textId="77777777" w:rsidR="0051282D" w:rsidRPr="00467F07" w:rsidRDefault="0051282D" w:rsidP="0051282D">
      <w:pPr>
        <w:spacing w:after="0" w:line="240" w:lineRule="auto"/>
        <w:ind w:firstLine="284"/>
        <w:jc w:val="both"/>
        <w:rPr>
          <w:rFonts w:ascii="Times New Roman" w:hAnsi="Times New Roman" w:cs="Times New Roman"/>
          <w:sz w:val="24"/>
          <w:szCs w:val="24"/>
        </w:rPr>
      </w:pPr>
      <w:r w:rsidRPr="000B448E">
        <w:rPr>
          <w:rFonts w:ascii="Times New Roman" w:hAnsi="Times New Roman" w:cs="Times New Roman"/>
          <w:sz w:val="24"/>
          <w:szCs w:val="24"/>
        </w:rPr>
        <w:t>Per quanto non previsto espressamente nel presente Regolamento didattico si rinvia allo Statuto dell’Università di Genova, al Regolamento generale d’Ateneo e alle altre norme vigenti in materia.</w:t>
      </w:r>
    </w:p>
    <w:p w14:paraId="4735FD21" w14:textId="77777777" w:rsidR="00E13452" w:rsidRDefault="00E13452" w:rsidP="00E13452">
      <w:pPr>
        <w:pStyle w:val="Corpotesto"/>
        <w:spacing w:before="4"/>
        <w:ind w:left="0" w:firstLine="0"/>
        <w:rPr>
          <w:sz w:val="21"/>
        </w:rPr>
      </w:pPr>
    </w:p>
    <w:p w14:paraId="7D3CA89C" w14:textId="522A566B" w:rsidR="00E13452" w:rsidRDefault="00E13452" w:rsidP="00E13452">
      <w:pPr>
        <w:spacing w:before="56"/>
        <w:ind w:left="2311"/>
        <w:rPr>
          <w:rFonts w:ascii="Calibri" w:hAnsi="Calibri"/>
          <w:b/>
        </w:rPr>
      </w:pPr>
      <w:r w:rsidRPr="00431451">
        <w:rPr>
          <w:rFonts w:ascii="Calibri" w:hAnsi="Calibri"/>
          <w:b/>
        </w:rPr>
        <w:t>La</w:t>
      </w:r>
      <w:r w:rsidRPr="00431451">
        <w:rPr>
          <w:rFonts w:ascii="Calibri" w:hAnsi="Calibri"/>
          <w:b/>
          <w:spacing w:val="-3"/>
        </w:rPr>
        <w:t xml:space="preserve"> </w:t>
      </w:r>
      <w:r w:rsidRPr="00431451">
        <w:rPr>
          <w:rFonts w:ascii="Calibri" w:hAnsi="Calibri"/>
          <w:b/>
        </w:rPr>
        <w:t>Parte</w:t>
      </w:r>
      <w:r w:rsidRPr="00431451">
        <w:rPr>
          <w:rFonts w:ascii="Calibri" w:hAnsi="Calibri"/>
          <w:b/>
          <w:spacing w:val="-2"/>
        </w:rPr>
        <w:t xml:space="preserve"> </w:t>
      </w:r>
      <w:r w:rsidRPr="00431451">
        <w:rPr>
          <w:rFonts w:ascii="Calibri" w:hAnsi="Calibri"/>
          <w:b/>
        </w:rPr>
        <w:t>speciale</w:t>
      </w:r>
      <w:r w:rsidRPr="00431451">
        <w:rPr>
          <w:rFonts w:ascii="Calibri" w:hAnsi="Calibri"/>
          <w:b/>
          <w:spacing w:val="-6"/>
        </w:rPr>
        <w:t xml:space="preserve"> </w:t>
      </w:r>
      <w:r w:rsidRPr="00431451">
        <w:rPr>
          <w:rFonts w:ascii="Calibri" w:hAnsi="Calibri"/>
          <w:b/>
        </w:rPr>
        <w:t>contiene</w:t>
      </w:r>
      <w:r w:rsidRPr="00431451">
        <w:rPr>
          <w:rFonts w:ascii="Calibri" w:hAnsi="Calibri"/>
          <w:b/>
          <w:spacing w:val="-5"/>
        </w:rPr>
        <w:t xml:space="preserve"> </w:t>
      </w:r>
      <w:r w:rsidRPr="00431451">
        <w:rPr>
          <w:rFonts w:ascii="Calibri" w:hAnsi="Calibri"/>
          <w:b/>
        </w:rPr>
        <w:t>l’elenco</w:t>
      </w:r>
      <w:r w:rsidRPr="00431451">
        <w:rPr>
          <w:rFonts w:ascii="Calibri" w:hAnsi="Calibri"/>
          <w:b/>
          <w:spacing w:val="-3"/>
        </w:rPr>
        <w:t xml:space="preserve"> </w:t>
      </w:r>
      <w:r w:rsidRPr="00431451">
        <w:rPr>
          <w:rFonts w:ascii="Calibri" w:hAnsi="Calibri"/>
          <w:b/>
        </w:rPr>
        <w:t>delle</w:t>
      </w:r>
      <w:r w:rsidRPr="00431451">
        <w:rPr>
          <w:rFonts w:ascii="Calibri" w:hAnsi="Calibri"/>
          <w:b/>
          <w:spacing w:val="-3"/>
        </w:rPr>
        <w:t xml:space="preserve"> </w:t>
      </w:r>
      <w:r w:rsidRPr="00431451">
        <w:rPr>
          <w:rFonts w:ascii="Calibri" w:hAnsi="Calibri"/>
          <w:b/>
        </w:rPr>
        <w:t>attività</w:t>
      </w:r>
      <w:r w:rsidRPr="00431451">
        <w:rPr>
          <w:rFonts w:ascii="Calibri" w:hAnsi="Calibri"/>
          <w:b/>
          <w:spacing w:val="-3"/>
        </w:rPr>
        <w:t xml:space="preserve"> </w:t>
      </w:r>
      <w:r w:rsidRPr="00431451">
        <w:rPr>
          <w:rFonts w:ascii="Calibri" w:hAnsi="Calibri"/>
          <w:b/>
        </w:rPr>
        <w:t>formative</w:t>
      </w:r>
      <w:r w:rsidRPr="00431451">
        <w:rPr>
          <w:rFonts w:ascii="Calibri" w:hAnsi="Calibri"/>
          <w:b/>
          <w:spacing w:val="-3"/>
        </w:rPr>
        <w:t xml:space="preserve"> </w:t>
      </w:r>
      <w:r w:rsidRPr="00431451">
        <w:rPr>
          <w:rFonts w:ascii="Calibri" w:hAnsi="Calibri"/>
          <w:b/>
        </w:rPr>
        <w:t>attivabili</w:t>
      </w:r>
      <w:r w:rsidRPr="00431451">
        <w:rPr>
          <w:rFonts w:ascii="Calibri" w:hAnsi="Calibri"/>
          <w:b/>
          <w:spacing w:val="-4"/>
        </w:rPr>
        <w:t xml:space="preserve"> </w:t>
      </w:r>
      <w:r w:rsidRPr="00431451">
        <w:rPr>
          <w:rFonts w:ascii="Calibri" w:hAnsi="Calibri"/>
          <w:b/>
        </w:rPr>
        <w:t>presentate</w:t>
      </w:r>
      <w:r w:rsidRPr="00431451">
        <w:rPr>
          <w:rFonts w:ascii="Calibri" w:hAnsi="Calibri"/>
          <w:b/>
          <w:spacing w:val="-5"/>
        </w:rPr>
        <w:t xml:space="preserve"> </w:t>
      </w:r>
      <w:r w:rsidRPr="00431451">
        <w:rPr>
          <w:rFonts w:ascii="Calibri" w:hAnsi="Calibri"/>
          <w:b/>
        </w:rPr>
        <w:t>con</w:t>
      </w:r>
      <w:r w:rsidRPr="00431451">
        <w:rPr>
          <w:rFonts w:ascii="Calibri" w:hAnsi="Calibri"/>
          <w:b/>
          <w:spacing w:val="-3"/>
        </w:rPr>
        <w:t xml:space="preserve"> </w:t>
      </w:r>
      <w:r w:rsidRPr="00431451">
        <w:rPr>
          <w:rFonts w:ascii="Calibri" w:hAnsi="Calibri"/>
          <w:b/>
        </w:rPr>
        <w:t>le</w:t>
      </w:r>
      <w:r w:rsidRPr="00431451">
        <w:rPr>
          <w:rFonts w:ascii="Calibri" w:hAnsi="Calibri"/>
          <w:b/>
          <w:spacing w:val="-3"/>
        </w:rPr>
        <w:t xml:space="preserve"> </w:t>
      </w:r>
      <w:r w:rsidRPr="00431451">
        <w:rPr>
          <w:rFonts w:ascii="Calibri" w:hAnsi="Calibri"/>
          <w:b/>
        </w:rPr>
        <w:t>seguenti</w:t>
      </w:r>
      <w:r w:rsidRPr="00431451">
        <w:rPr>
          <w:rFonts w:ascii="Calibri" w:hAnsi="Calibri"/>
          <w:b/>
          <w:spacing w:val="-3"/>
        </w:rPr>
        <w:t xml:space="preserve"> </w:t>
      </w:r>
      <w:r w:rsidRPr="00431451">
        <w:rPr>
          <w:rFonts w:ascii="Calibri" w:hAnsi="Calibri"/>
          <w:b/>
        </w:rPr>
        <w:t>informazioni:</w:t>
      </w:r>
    </w:p>
    <w:tbl>
      <w:tblPr>
        <w:tblStyle w:val="Grigliatabella"/>
        <w:tblW w:w="0" w:type="auto"/>
        <w:tblLayout w:type="fixed"/>
        <w:tblLook w:val="04A0" w:firstRow="1" w:lastRow="0" w:firstColumn="1" w:lastColumn="0" w:noHBand="0" w:noVBand="1"/>
      </w:tblPr>
      <w:tblGrid>
        <w:gridCol w:w="529"/>
        <w:gridCol w:w="836"/>
        <w:gridCol w:w="1040"/>
        <w:gridCol w:w="1276"/>
        <w:gridCol w:w="567"/>
        <w:gridCol w:w="567"/>
        <w:gridCol w:w="850"/>
        <w:gridCol w:w="993"/>
        <w:gridCol w:w="850"/>
        <w:gridCol w:w="709"/>
        <w:gridCol w:w="3118"/>
        <w:gridCol w:w="2977"/>
        <w:gridCol w:w="709"/>
        <w:gridCol w:w="589"/>
      </w:tblGrid>
      <w:tr w:rsidR="00E13452" w:rsidRPr="00320763" w14:paraId="16A2441B" w14:textId="77777777" w:rsidTr="00C43903">
        <w:trPr>
          <w:trHeight w:val="1974"/>
        </w:trPr>
        <w:tc>
          <w:tcPr>
            <w:tcW w:w="529" w:type="dxa"/>
            <w:hideMark/>
          </w:tcPr>
          <w:p w14:paraId="1B1D6FC5"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Anno di corso</w:t>
            </w:r>
          </w:p>
        </w:tc>
        <w:tc>
          <w:tcPr>
            <w:tcW w:w="836" w:type="dxa"/>
            <w:hideMark/>
          </w:tcPr>
          <w:p w14:paraId="53559F39"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Codice_ins</w:t>
            </w:r>
          </w:p>
        </w:tc>
        <w:tc>
          <w:tcPr>
            <w:tcW w:w="1040" w:type="dxa"/>
            <w:hideMark/>
          </w:tcPr>
          <w:p w14:paraId="16CA3290"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Nome_ins</w:t>
            </w:r>
          </w:p>
        </w:tc>
        <w:tc>
          <w:tcPr>
            <w:tcW w:w="1276" w:type="dxa"/>
            <w:hideMark/>
          </w:tcPr>
          <w:p w14:paraId="66028485"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Nome_ins EN</w:t>
            </w:r>
          </w:p>
        </w:tc>
        <w:tc>
          <w:tcPr>
            <w:tcW w:w="567" w:type="dxa"/>
            <w:hideMark/>
          </w:tcPr>
          <w:p w14:paraId="09A2C3BA"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CFU</w:t>
            </w:r>
          </w:p>
        </w:tc>
        <w:tc>
          <w:tcPr>
            <w:tcW w:w="567" w:type="dxa"/>
            <w:hideMark/>
          </w:tcPr>
          <w:p w14:paraId="443B6F24"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SSD</w:t>
            </w:r>
          </w:p>
        </w:tc>
        <w:tc>
          <w:tcPr>
            <w:tcW w:w="850" w:type="dxa"/>
            <w:hideMark/>
          </w:tcPr>
          <w:p w14:paraId="3723973D"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Tipologia</w:t>
            </w:r>
          </w:p>
        </w:tc>
        <w:tc>
          <w:tcPr>
            <w:tcW w:w="993" w:type="dxa"/>
            <w:hideMark/>
          </w:tcPr>
          <w:p w14:paraId="6B6DCCDC"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Ambito</w:t>
            </w:r>
          </w:p>
        </w:tc>
        <w:tc>
          <w:tcPr>
            <w:tcW w:w="850" w:type="dxa"/>
            <w:hideMark/>
          </w:tcPr>
          <w:p w14:paraId="6E58FB9F"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Lingua</w:t>
            </w:r>
          </w:p>
        </w:tc>
        <w:tc>
          <w:tcPr>
            <w:tcW w:w="709" w:type="dxa"/>
            <w:hideMark/>
          </w:tcPr>
          <w:p w14:paraId="66B9EB96"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Propedeuticità</w:t>
            </w:r>
          </w:p>
        </w:tc>
        <w:tc>
          <w:tcPr>
            <w:tcW w:w="3118" w:type="dxa"/>
            <w:hideMark/>
          </w:tcPr>
          <w:p w14:paraId="058FB7D5"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Obiettivi formativi</w:t>
            </w:r>
          </w:p>
        </w:tc>
        <w:tc>
          <w:tcPr>
            <w:tcW w:w="2977" w:type="dxa"/>
            <w:hideMark/>
          </w:tcPr>
          <w:p w14:paraId="758C0DCA"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Obiettivi formativi inglese</w:t>
            </w:r>
          </w:p>
        </w:tc>
        <w:tc>
          <w:tcPr>
            <w:tcW w:w="709" w:type="dxa"/>
            <w:hideMark/>
          </w:tcPr>
          <w:p w14:paraId="18F9ED0E"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Ore riservate attività didattica assistita</w:t>
            </w:r>
          </w:p>
        </w:tc>
        <w:tc>
          <w:tcPr>
            <w:tcW w:w="589" w:type="dxa"/>
            <w:hideMark/>
          </w:tcPr>
          <w:p w14:paraId="4707F080" w14:textId="77777777" w:rsidR="00E13452" w:rsidRPr="00320763" w:rsidRDefault="00E13452" w:rsidP="00C43903">
            <w:pPr>
              <w:spacing w:before="56"/>
              <w:rPr>
                <w:rFonts w:ascii="Calibri" w:hAnsi="Calibri"/>
                <w:b/>
                <w:bCs/>
                <w:sz w:val="18"/>
                <w:szCs w:val="18"/>
              </w:rPr>
            </w:pPr>
            <w:r w:rsidRPr="00320763">
              <w:rPr>
                <w:rFonts w:ascii="Calibri" w:hAnsi="Calibri"/>
                <w:b/>
                <w:bCs/>
                <w:sz w:val="18"/>
                <w:szCs w:val="18"/>
              </w:rPr>
              <w:t>Ore riservate allo studio personale</w:t>
            </w:r>
          </w:p>
        </w:tc>
      </w:tr>
      <w:tr w:rsidR="00E13452" w:rsidRPr="00320763" w14:paraId="1C1A9928" w14:textId="77777777" w:rsidTr="00C43903">
        <w:trPr>
          <w:trHeight w:val="3926"/>
        </w:trPr>
        <w:tc>
          <w:tcPr>
            <w:tcW w:w="529" w:type="dxa"/>
            <w:noWrap/>
            <w:hideMark/>
          </w:tcPr>
          <w:p w14:paraId="6A1B7EF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3BE2F50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41244</w:t>
            </w:r>
          </w:p>
        </w:tc>
        <w:tc>
          <w:tcPr>
            <w:tcW w:w="1040" w:type="dxa"/>
            <w:hideMark/>
          </w:tcPr>
          <w:p w14:paraId="0CDE7D2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ECONOMIA E GEST. DELLE IMPR. MARITT. E PORTUALI</w:t>
            </w:r>
          </w:p>
        </w:tc>
        <w:tc>
          <w:tcPr>
            <w:tcW w:w="1276" w:type="dxa"/>
            <w:hideMark/>
          </w:tcPr>
          <w:p w14:paraId="4E7363A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 AND MANAGEMENT OF MARITIME AND PORT COMPANIES</w:t>
            </w:r>
          </w:p>
        </w:tc>
        <w:tc>
          <w:tcPr>
            <w:tcW w:w="567" w:type="dxa"/>
            <w:noWrap/>
            <w:hideMark/>
          </w:tcPr>
          <w:p w14:paraId="3BC309D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445E10F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SECS-P/08</w:t>
            </w:r>
          </w:p>
        </w:tc>
        <w:tc>
          <w:tcPr>
            <w:tcW w:w="850" w:type="dxa"/>
            <w:hideMark/>
          </w:tcPr>
          <w:p w14:paraId="67BEB27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19D1896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Aziendale</w:t>
            </w:r>
          </w:p>
        </w:tc>
        <w:tc>
          <w:tcPr>
            <w:tcW w:w="850" w:type="dxa"/>
            <w:noWrap/>
            <w:hideMark/>
          </w:tcPr>
          <w:p w14:paraId="1690E5C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4FCC917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75F61BB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specialistico si propone di esaminare, sotto il profilo tecnico-aziendale, l’evoluzione delle strategie competitive e di corporate delle imprese armatoriali e terminalistico-</w:t>
            </w:r>
            <w:r w:rsidRPr="00431451">
              <w:rPr>
                <w:rFonts w:ascii="Calibri" w:hAnsi="Calibri"/>
                <w:bCs/>
                <w:sz w:val="18"/>
                <w:szCs w:val="18"/>
              </w:rPr>
              <w:t>portuali e delle Autorità Portuali. I percorsi strategici vengono inquadrati nell’ambito delle trasformazioni degli scenari internazionali, dei sistemi di trasporto e dei rispettivi segmenti di mercato. Sono oggetto di specifici</w:t>
            </w:r>
            <w:r w:rsidRPr="00320763">
              <w:rPr>
                <w:rFonts w:ascii="Calibri" w:hAnsi="Calibri"/>
                <w:bCs/>
                <w:sz w:val="18"/>
                <w:szCs w:val="18"/>
              </w:rPr>
              <w:t xml:space="preserve"> approfondimenti gli elementi essenziali delle scelte/decisioni dell'impresa, nonché i fattori competitivi presenti nei mercati. In particolare, vengono prese in considerazione le imprese operanti nel ciclo trasportistico complesso del container, e gli enti ed amministrazioni pubbliche coinvolti nella governance della portualità e dell’intermodalità.</w:t>
            </w:r>
          </w:p>
        </w:tc>
        <w:tc>
          <w:tcPr>
            <w:tcW w:w="2977" w:type="dxa"/>
            <w:hideMark/>
          </w:tcPr>
          <w:p w14:paraId="7D92E56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paving on a managerial approach, aims to analyse the operations and strategies of firms and public organizations operating in maritime logistics. The course focuses on main theoretical concepts and perspectives related to maritime transport demand and segmentation, port cargo handling, transport capacity deployment and management, as well as competitive and growth strategies. Emphasis will be given to multinational corporations operating in shipping and ports, i.e. firms that diversify risk and their business portfolio. In addition, the organization and strategies of Port Authorities is addressed, by emphasizing the diverse governance settings in some relevant countries.  </w:t>
            </w:r>
          </w:p>
        </w:tc>
        <w:tc>
          <w:tcPr>
            <w:tcW w:w="709" w:type="dxa"/>
            <w:noWrap/>
            <w:hideMark/>
          </w:tcPr>
          <w:p w14:paraId="0777355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03457EB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258190EB" w14:textId="77777777" w:rsidTr="00C43903">
        <w:trPr>
          <w:trHeight w:val="2541"/>
        </w:trPr>
        <w:tc>
          <w:tcPr>
            <w:tcW w:w="529" w:type="dxa"/>
            <w:noWrap/>
            <w:hideMark/>
          </w:tcPr>
          <w:p w14:paraId="43725E3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1</w:t>
            </w:r>
          </w:p>
        </w:tc>
        <w:tc>
          <w:tcPr>
            <w:tcW w:w="836" w:type="dxa"/>
            <w:noWrap/>
            <w:hideMark/>
          </w:tcPr>
          <w:p w14:paraId="1596185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41245</w:t>
            </w:r>
          </w:p>
        </w:tc>
        <w:tc>
          <w:tcPr>
            <w:tcW w:w="1040" w:type="dxa"/>
            <w:hideMark/>
          </w:tcPr>
          <w:p w14:paraId="3A2F79D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DIRITTO DELLA NAVIGAZIONE</w:t>
            </w:r>
          </w:p>
        </w:tc>
        <w:tc>
          <w:tcPr>
            <w:tcW w:w="1276" w:type="dxa"/>
            <w:hideMark/>
          </w:tcPr>
          <w:p w14:paraId="4A6249E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SHIPPING LAW</w:t>
            </w:r>
          </w:p>
        </w:tc>
        <w:tc>
          <w:tcPr>
            <w:tcW w:w="567" w:type="dxa"/>
            <w:noWrap/>
            <w:hideMark/>
          </w:tcPr>
          <w:p w14:paraId="37BB0FF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1E60752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IUS/06</w:t>
            </w:r>
          </w:p>
        </w:tc>
        <w:tc>
          <w:tcPr>
            <w:tcW w:w="850" w:type="dxa"/>
            <w:hideMark/>
          </w:tcPr>
          <w:p w14:paraId="757A839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7817742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Giuridico</w:t>
            </w:r>
          </w:p>
        </w:tc>
        <w:tc>
          <w:tcPr>
            <w:tcW w:w="850" w:type="dxa"/>
            <w:noWrap/>
            <w:hideMark/>
          </w:tcPr>
          <w:p w14:paraId="36CFC17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5B3E3FE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7E26984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intende fornire agli studenti una conoscenza dei principali istituti riguardanti il settore dello shipping attraverso l’analisi della normativa internazionale, unionale e nazionale e della contrattualistica con approfondimenti su alcuni specifici temi quali i beni pubblici destinati alla navigazione, le zone di mare ed i poteri degli Stati, il regime amministrativo della nave, il regime di responsabilità del proprietario della nave e dell’armatore, la sicurezza nella navigazione, i principali contratti marittimi, ecc.</w:t>
            </w:r>
          </w:p>
        </w:tc>
        <w:tc>
          <w:tcPr>
            <w:tcW w:w="2977" w:type="dxa"/>
            <w:hideMark/>
          </w:tcPr>
          <w:p w14:paraId="29AC8BF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introduce the students to the knowledge of the basic rules concerning the shipping field through the analysis of international, EU and national legislation and contracts, including specific focus on some items such as maritime property, maritime zones and Flag and Coastal States’ rights, administrative regime of the ship, sea areas and powers of the States, liability of the shipowner, safety and security, maritime contracts, etc.</w:t>
            </w:r>
          </w:p>
        </w:tc>
        <w:tc>
          <w:tcPr>
            <w:tcW w:w="709" w:type="dxa"/>
            <w:noWrap/>
            <w:hideMark/>
          </w:tcPr>
          <w:p w14:paraId="5B82A18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3D7AA7B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76146DB2" w14:textId="77777777" w:rsidTr="00C43903">
        <w:trPr>
          <w:trHeight w:val="2541"/>
        </w:trPr>
        <w:tc>
          <w:tcPr>
            <w:tcW w:w="529" w:type="dxa"/>
            <w:noWrap/>
            <w:hideMark/>
          </w:tcPr>
          <w:p w14:paraId="76A154F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26469B5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44899</w:t>
            </w:r>
          </w:p>
        </w:tc>
        <w:tc>
          <w:tcPr>
            <w:tcW w:w="1040" w:type="dxa"/>
            <w:hideMark/>
          </w:tcPr>
          <w:p w14:paraId="7DC3522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PROGRAMMAZIONE E CONTROLLO DELLA LOGISTICA MAR PORT</w:t>
            </w:r>
          </w:p>
        </w:tc>
        <w:tc>
          <w:tcPr>
            <w:tcW w:w="1276" w:type="dxa"/>
            <w:hideMark/>
          </w:tcPr>
          <w:p w14:paraId="4934207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MANAGEMENT CONTROL OF MARITIME AND PORT LOGISTICS</w:t>
            </w:r>
          </w:p>
        </w:tc>
        <w:tc>
          <w:tcPr>
            <w:tcW w:w="567" w:type="dxa"/>
            <w:noWrap/>
            <w:hideMark/>
          </w:tcPr>
          <w:p w14:paraId="6FCEAEA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6710123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SECS-P/07</w:t>
            </w:r>
          </w:p>
        </w:tc>
        <w:tc>
          <w:tcPr>
            <w:tcW w:w="850" w:type="dxa"/>
            <w:hideMark/>
          </w:tcPr>
          <w:p w14:paraId="6E96B8A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AFFINI O INTEGRATIVE</w:t>
            </w:r>
          </w:p>
        </w:tc>
        <w:tc>
          <w:tcPr>
            <w:tcW w:w="993" w:type="dxa"/>
            <w:hideMark/>
          </w:tcPr>
          <w:p w14:paraId="2736596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Attività Formative Affini o Integrative</w:t>
            </w:r>
          </w:p>
        </w:tc>
        <w:tc>
          <w:tcPr>
            <w:tcW w:w="850" w:type="dxa"/>
            <w:noWrap/>
            <w:hideMark/>
          </w:tcPr>
          <w:p w14:paraId="6B11692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15FC3D7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08CDA8C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Gli obiettivi dell'insegnamento sono:</w:t>
            </w:r>
            <w:r w:rsidRPr="00320763">
              <w:rPr>
                <w:rFonts w:ascii="Calibri" w:hAnsi="Calibri"/>
                <w:bCs/>
                <w:sz w:val="18"/>
                <w:szCs w:val="18"/>
              </w:rPr>
              <w:br/>
              <w:t>- introdurre lo studente alla tematica della logistica del trasporto illustrandone i principali strumenti gestionali che consentono alle diverse imprese di shipping coinvolte di assumere decisioni di lungo e breve periodo coerenti rispetto agli obiettivi che si intende raggiungere;</w:t>
            </w:r>
            <w:r w:rsidRPr="00320763">
              <w:rPr>
                <w:rFonts w:ascii="Calibri" w:hAnsi="Calibri"/>
                <w:bCs/>
                <w:sz w:val="18"/>
                <w:szCs w:val="18"/>
              </w:rPr>
              <w:br/>
              <w:t xml:space="preserve">- analizzare le specificità del processo di pianificazione programmazione e controllo dell’attività logistica. </w:t>
            </w:r>
          </w:p>
        </w:tc>
        <w:tc>
          <w:tcPr>
            <w:tcW w:w="2977" w:type="dxa"/>
            <w:hideMark/>
          </w:tcPr>
          <w:p w14:paraId="54D007B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based on an accounting approach, is intended to introduce students to the knowledge of the basic items concerning planning and control in shipping companies and ports. The course also aims to analyze the main tools involved in the long term and short term business decisional process.</w:t>
            </w:r>
          </w:p>
        </w:tc>
        <w:tc>
          <w:tcPr>
            <w:tcW w:w="709" w:type="dxa"/>
            <w:noWrap/>
            <w:hideMark/>
          </w:tcPr>
          <w:p w14:paraId="4BC5179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63274F2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2E2F3A97" w14:textId="77777777" w:rsidTr="00C43903">
        <w:trPr>
          <w:trHeight w:val="2310"/>
        </w:trPr>
        <w:tc>
          <w:tcPr>
            <w:tcW w:w="529" w:type="dxa"/>
            <w:noWrap/>
            <w:hideMark/>
          </w:tcPr>
          <w:p w14:paraId="08C140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78D050E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55537</w:t>
            </w:r>
          </w:p>
        </w:tc>
        <w:tc>
          <w:tcPr>
            <w:tcW w:w="1040" w:type="dxa"/>
            <w:hideMark/>
          </w:tcPr>
          <w:p w14:paraId="6ABCDBE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TRAFFICI MARITTIMI ED ECONOMIA DELLE REGIONI PORTUALI</w:t>
            </w:r>
          </w:p>
        </w:tc>
        <w:tc>
          <w:tcPr>
            <w:tcW w:w="1276" w:type="dxa"/>
            <w:hideMark/>
          </w:tcPr>
          <w:p w14:paraId="6A4CFE1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PORT ECONOMICS</w:t>
            </w:r>
          </w:p>
        </w:tc>
        <w:tc>
          <w:tcPr>
            <w:tcW w:w="567" w:type="dxa"/>
            <w:noWrap/>
            <w:hideMark/>
          </w:tcPr>
          <w:p w14:paraId="26BBA12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072219E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SECS-P/06</w:t>
            </w:r>
          </w:p>
        </w:tc>
        <w:tc>
          <w:tcPr>
            <w:tcW w:w="850" w:type="dxa"/>
            <w:hideMark/>
          </w:tcPr>
          <w:p w14:paraId="424795D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4F4D4A4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Economico</w:t>
            </w:r>
          </w:p>
        </w:tc>
        <w:tc>
          <w:tcPr>
            <w:tcW w:w="850" w:type="dxa"/>
            <w:noWrap/>
            <w:hideMark/>
          </w:tcPr>
          <w:p w14:paraId="63275D7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78393F4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473D3E3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fornisce una solida conoscenza delle caratteristiche distintive dei diversi segmenti che compongono il trasporto via mare di persone e merci, dei diversi modelli di governance portuale, delle principali tendenze di sviluppo del settore alla luce dell’andamento macroeconomico mondiale e delle politiche di regolamentazione e deregolamentazione del settore. </w:t>
            </w:r>
          </w:p>
        </w:tc>
        <w:tc>
          <w:tcPr>
            <w:tcW w:w="2977" w:type="dxa"/>
            <w:hideMark/>
          </w:tcPr>
          <w:p w14:paraId="138993E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provide students with a in depth knowledge about port economics, ports economic structure and the main trends in ports policies from an European perspective.</w:t>
            </w:r>
          </w:p>
        </w:tc>
        <w:tc>
          <w:tcPr>
            <w:tcW w:w="709" w:type="dxa"/>
            <w:noWrap/>
            <w:hideMark/>
          </w:tcPr>
          <w:p w14:paraId="1FFB2A4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0190E1B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0A347CD7" w14:textId="77777777" w:rsidTr="00C43903">
        <w:trPr>
          <w:trHeight w:val="2758"/>
        </w:trPr>
        <w:tc>
          <w:tcPr>
            <w:tcW w:w="529" w:type="dxa"/>
            <w:noWrap/>
            <w:hideMark/>
          </w:tcPr>
          <w:p w14:paraId="64E76CE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1</w:t>
            </w:r>
          </w:p>
        </w:tc>
        <w:tc>
          <w:tcPr>
            <w:tcW w:w="836" w:type="dxa"/>
            <w:noWrap/>
            <w:hideMark/>
          </w:tcPr>
          <w:p w14:paraId="1D4A9CA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57451</w:t>
            </w:r>
          </w:p>
        </w:tc>
        <w:tc>
          <w:tcPr>
            <w:tcW w:w="1040" w:type="dxa"/>
            <w:hideMark/>
          </w:tcPr>
          <w:p w14:paraId="5269491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TIROCINIO</w:t>
            </w:r>
          </w:p>
        </w:tc>
        <w:tc>
          <w:tcPr>
            <w:tcW w:w="1276" w:type="dxa"/>
            <w:hideMark/>
          </w:tcPr>
          <w:p w14:paraId="2C26436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APPRENTICESHIPS</w:t>
            </w:r>
          </w:p>
        </w:tc>
        <w:tc>
          <w:tcPr>
            <w:tcW w:w="567" w:type="dxa"/>
            <w:noWrap/>
            <w:hideMark/>
          </w:tcPr>
          <w:p w14:paraId="52F3F7B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7474188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24DCD69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472154D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64C1A5B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709" w:type="dxa"/>
            <w:hideMark/>
          </w:tcPr>
          <w:p w14:paraId="73FF018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8EA335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 tirocini di formazione ed orientamento sono i percorsi di apprendimento pratico-applicativo svolti, presso imprese o enti convenzionati con il Dipartimento o con l’Ateneo, durante il periodo di iscrizione ad uno dei corsi attivati dal Dipartimento di Economia (corsi di Laurea di primo livello o corsi di Laurea Magistrale).</w:t>
            </w:r>
            <w:r w:rsidRPr="00320763">
              <w:rPr>
                <w:rFonts w:ascii="Calibri" w:hAnsi="Calibri"/>
                <w:bCs/>
                <w:sz w:val="18"/>
                <w:szCs w:val="18"/>
              </w:rPr>
              <w:br/>
              <w:t>Il progetto formativo dei tirocini ha finalità pratico-applicative che integrano le conoscenze teoriche già acquisite o in corso di acquisizione nel percorso formativo universitario.</w:t>
            </w:r>
          </w:p>
        </w:tc>
        <w:tc>
          <w:tcPr>
            <w:tcW w:w="2977" w:type="dxa"/>
            <w:hideMark/>
          </w:tcPr>
          <w:p w14:paraId="6BBF88C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training and orientation internships are the practical and applicative learning paths carried out, in companies or organizations affiliated with the Department or with the University, during the period of enrollment in one of the courses activated by the Department of Economics (Degree courses of first level or Master's Degree courses)</w:t>
            </w:r>
          </w:p>
        </w:tc>
        <w:tc>
          <w:tcPr>
            <w:tcW w:w="709" w:type="dxa"/>
            <w:noWrap/>
            <w:hideMark/>
          </w:tcPr>
          <w:p w14:paraId="2DEE6E9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150</w:t>
            </w:r>
          </w:p>
        </w:tc>
        <w:tc>
          <w:tcPr>
            <w:tcW w:w="589" w:type="dxa"/>
            <w:noWrap/>
            <w:hideMark/>
          </w:tcPr>
          <w:p w14:paraId="2F166B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0</w:t>
            </w:r>
          </w:p>
        </w:tc>
      </w:tr>
      <w:tr w:rsidR="00E13452" w:rsidRPr="00320763" w14:paraId="5BC56679" w14:textId="77777777" w:rsidTr="00C43903">
        <w:trPr>
          <w:trHeight w:val="2880"/>
        </w:trPr>
        <w:tc>
          <w:tcPr>
            <w:tcW w:w="529" w:type="dxa"/>
            <w:noWrap/>
            <w:hideMark/>
          </w:tcPr>
          <w:p w14:paraId="1AA5F42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6B93A6B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60096</w:t>
            </w:r>
          </w:p>
        </w:tc>
        <w:tc>
          <w:tcPr>
            <w:tcW w:w="1040" w:type="dxa"/>
            <w:hideMark/>
          </w:tcPr>
          <w:p w14:paraId="1A70EAE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SHIP AGENCY AND MANAGEMENT</w:t>
            </w:r>
          </w:p>
        </w:tc>
        <w:tc>
          <w:tcPr>
            <w:tcW w:w="1276" w:type="dxa"/>
            <w:hideMark/>
          </w:tcPr>
          <w:p w14:paraId="78F0104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SHIP AGENCY AND MANAGEMENT</w:t>
            </w:r>
          </w:p>
        </w:tc>
        <w:tc>
          <w:tcPr>
            <w:tcW w:w="567" w:type="dxa"/>
            <w:noWrap/>
            <w:hideMark/>
          </w:tcPr>
          <w:p w14:paraId="2CAC8F3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72FFFA4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6131CEA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4ED1107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4571897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2FB4353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2F6B1AC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fondato su un approccio manageriale, si propone di analizzare le operazioni e le strategie delle imprese operanti nel settore marittimo. Il corso si concentra sui principali concetti teorici e prospettive relative alla domanda e alla segmentazione dei trasporti, all'implementazione e alla gestione della capacità di trasporto, al marketing, nonché alle strategie competitive e di crescita. Ulteriore focus sarà posto sulle multinazionali operanti nel settore dei trasporti, diversificando il rischio e il loro portafoglio di attività.</w:t>
            </w:r>
          </w:p>
        </w:tc>
        <w:tc>
          <w:tcPr>
            <w:tcW w:w="2977" w:type="dxa"/>
            <w:hideMark/>
          </w:tcPr>
          <w:p w14:paraId="3AF0532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To provide basic knowledge and tools for the access to the sector of "Maritime transport auxiliaries" (Ship Agents, Ship Brokers, Ship Managers). The professional profile thus trained will be able to deal with the companies that daily face the changes in the activity of maritime-port logistics.</w:t>
            </w:r>
          </w:p>
        </w:tc>
        <w:tc>
          <w:tcPr>
            <w:tcW w:w="709" w:type="dxa"/>
            <w:noWrap/>
            <w:hideMark/>
          </w:tcPr>
          <w:p w14:paraId="30B23AA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408224A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31D98BDD" w14:textId="77777777" w:rsidTr="00C43903">
        <w:trPr>
          <w:trHeight w:val="5027"/>
        </w:trPr>
        <w:tc>
          <w:tcPr>
            <w:tcW w:w="529" w:type="dxa"/>
            <w:noWrap/>
            <w:hideMark/>
          </w:tcPr>
          <w:p w14:paraId="3EF90C3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1</w:t>
            </w:r>
          </w:p>
        </w:tc>
        <w:tc>
          <w:tcPr>
            <w:tcW w:w="836" w:type="dxa"/>
            <w:noWrap/>
            <w:hideMark/>
          </w:tcPr>
          <w:p w14:paraId="7355A4A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84208</w:t>
            </w:r>
          </w:p>
        </w:tc>
        <w:tc>
          <w:tcPr>
            <w:tcW w:w="1040" w:type="dxa"/>
            <w:hideMark/>
          </w:tcPr>
          <w:p w14:paraId="379A168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LAW AND PRACTICE OF NATIONAL, EU AND INTERNATIONAL SHIPPING PROGRAMMES</w:t>
            </w:r>
          </w:p>
        </w:tc>
        <w:tc>
          <w:tcPr>
            <w:tcW w:w="1276" w:type="dxa"/>
            <w:hideMark/>
          </w:tcPr>
          <w:p w14:paraId="2D5FD32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LAW AND PRACTICE OF NATIONAL, EU AND INTERNATIONAL SHIPPING PROGRAMMES</w:t>
            </w:r>
          </w:p>
        </w:tc>
        <w:tc>
          <w:tcPr>
            <w:tcW w:w="567" w:type="dxa"/>
            <w:noWrap/>
            <w:hideMark/>
          </w:tcPr>
          <w:p w14:paraId="50342DE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7CD29DC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IUS/06</w:t>
            </w:r>
          </w:p>
        </w:tc>
        <w:tc>
          <w:tcPr>
            <w:tcW w:w="850" w:type="dxa"/>
            <w:hideMark/>
          </w:tcPr>
          <w:p w14:paraId="36FB125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58FA643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18E2C9E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709" w:type="dxa"/>
            <w:hideMark/>
          </w:tcPr>
          <w:p w14:paraId="4F68606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7248610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 finalità dell’insegnamento è quella di fornire strumenti legali e tecnici allo scopo di preparare sviluppare e gestire correttamente una proposta  progettuale, a livello sia nazionale che internazionale ed europeo,  nell’ambito del settore marittimo.  Questo insegnamento si propone, dopo una analitica panoramica della Unione Europea in generale con uno sguardo al settore marittimo, di offrire un approccio pratico sul come trovare un bando  per una proposta progettuale  e come costruire un consorzio associativo in merito. Gli studenti acquisiranno non solo una conoscenza sullo stato giuridico ed organizzazione dell’Unione Europea, ma pure la professionalità richiesta per stendere una proposta progettuale orientata ad aver successo, per attuare il progetto e gestirne l’intera durata delle sue fasi includente un bilancio finanziario preventivo. Saranno invitati esperti esterni e progettisti professionali ad hoc che esporranno la loro esperienza.</w:t>
            </w:r>
          </w:p>
        </w:tc>
        <w:tc>
          <w:tcPr>
            <w:tcW w:w="2977" w:type="dxa"/>
            <w:hideMark/>
          </w:tcPr>
          <w:p w14:paraId="5DBF608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provide legal and technical instruments in order to arrange properly a project proposal and develop and manage it in the shipping field at national, international and European levels. This course proposes , after an analytical overview of the E.U in general with a glance at the maritime field, to give a practical approach about where to find a call for proposal and how to build a partnership consortium. The students will acquire not only a knowledge of the EU status and organization, but also the needed skills in order to write a project proposal in a goal-oriented way,  implement the project and manage its entire life-cycle including the project budget. External experts and project managers who will share their experience will be invited.</w:t>
            </w:r>
          </w:p>
        </w:tc>
        <w:tc>
          <w:tcPr>
            <w:tcW w:w="709" w:type="dxa"/>
            <w:noWrap/>
            <w:hideMark/>
          </w:tcPr>
          <w:p w14:paraId="11E6CED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5E99157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33AA8BEF" w14:textId="77777777" w:rsidTr="00C43903">
        <w:trPr>
          <w:trHeight w:val="557"/>
        </w:trPr>
        <w:tc>
          <w:tcPr>
            <w:tcW w:w="529" w:type="dxa"/>
            <w:noWrap/>
            <w:hideMark/>
          </w:tcPr>
          <w:p w14:paraId="01D76D0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407DC9C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90544</w:t>
            </w:r>
          </w:p>
        </w:tc>
        <w:tc>
          <w:tcPr>
            <w:tcW w:w="1040" w:type="dxa"/>
            <w:hideMark/>
          </w:tcPr>
          <w:p w14:paraId="34B1DDC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GEOGRAPHY, COMMODITIES TRADING, GEOPOLITICS</w:t>
            </w:r>
          </w:p>
        </w:tc>
        <w:tc>
          <w:tcPr>
            <w:tcW w:w="1276" w:type="dxa"/>
            <w:hideMark/>
          </w:tcPr>
          <w:p w14:paraId="26955A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GEOGRAPHY, COMMODITIES TRADING, GEOPOLITICS</w:t>
            </w:r>
          </w:p>
        </w:tc>
        <w:tc>
          <w:tcPr>
            <w:tcW w:w="567" w:type="dxa"/>
            <w:noWrap/>
            <w:hideMark/>
          </w:tcPr>
          <w:p w14:paraId="4ACB554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759471B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5ADA83C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0BFDE8C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26D79CF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38AE846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A1B46B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L’obiettivo è quello di colmare eventuali lacune di geografia economica, insegnamento spesso trascurato nei corsi di studio precedenti. Si toccherà quindi in particolare la geografia per la parte inerente alla navigazione marittima e gli scambi internazionali. Si esamineranno gli aspetti geopolitici, paesi affacciati sul mare e paesi senza accesso al mare, complicazioni geopolitiche, le dispute territoriali, privilegi, conflitti, strozzature dei traffici, il flusso delle principali merci alla rinfusa, in particolare quelle dell’ambito oil&amp;gas, i commerci, origini </w:t>
            </w:r>
            <w:r w:rsidRPr="00320763">
              <w:rPr>
                <w:rFonts w:ascii="Calibri" w:hAnsi="Calibri"/>
                <w:bCs/>
                <w:sz w:val="18"/>
                <w:szCs w:val="18"/>
              </w:rPr>
              <w:lastRenderedPageBreak/>
              <w:t>e destinazioni; la geopolitica dell'energia, la deglobalizzazione.</w:t>
            </w:r>
            <w:r w:rsidRPr="00320763">
              <w:rPr>
                <w:rFonts w:ascii="Calibri" w:hAnsi="Calibri"/>
                <w:bCs/>
                <w:sz w:val="18"/>
                <w:szCs w:val="18"/>
              </w:rPr>
              <w:br/>
            </w:r>
            <w:r w:rsidRPr="00320763">
              <w:rPr>
                <w:rFonts w:ascii="Calibri" w:hAnsi="Calibri"/>
                <w:bCs/>
                <w:sz w:val="18"/>
                <w:szCs w:val="18"/>
              </w:rPr>
              <w:br/>
              <w:t xml:space="preserve"> </w:t>
            </w:r>
          </w:p>
        </w:tc>
        <w:tc>
          <w:tcPr>
            <w:tcW w:w="2977" w:type="dxa"/>
            <w:hideMark/>
          </w:tcPr>
          <w:p w14:paraId="2375347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 xml:space="preserve">The goal is to fill any gaps in economic geography, a teaching often neglected in previous study courses. We will therefore touch in particular on geography for the part relating to maritime navigation and international exchanges. We will examine the geopolitical aspects, countries having access to the sea and landlocked countries, geopolitical tensions, territorial disputes, privileges, conflicts, trade chokepoints, the flow of main bulk goods, in particular those in the oil &amp; gas sector, trade, origins and </w:t>
            </w:r>
            <w:r w:rsidRPr="00320763">
              <w:rPr>
                <w:rFonts w:ascii="Calibri" w:hAnsi="Calibri"/>
                <w:bCs/>
                <w:sz w:val="18"/>
                <w:szCs w:val="18"/>
              </w:rPr>
              <w:lastRenderedPageBreak/>
              <w:t>destinations; the geopolitics of energy, deglobalization.</w:t>
            </w:r>
          </w:p>
        </w:tc>
        <w:tc>
          <w:tcPr>
            <w:tcW w:w="709" w:type="dxa"/>
            <w:noWrap/>
            <w:hideMark/>
          </w:tcPr>
          <w:p w14:paraId="6269E25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24</w:t>
            </w:r>
          </w:p>
        </w:tc>
        <w:tc>
          <w:tcPr>
            <w:tcW w:w="589" w:type="dxa"/>
            <w:noWrap/>
            <w:hideMark/>
          </w:tcPr>
          <w:p w14:paraId="131BFC4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36C4C5C6" w14:textId="77777777" w:rsidTr="00C43903">
        <w:trPr>
          <w:trHeight w:val="3234"/>
        </w:trPr>
        <w:tc>
          <w:tcPr>
            <w:tcW w:w="529" w:type="dxa"/>
            <w:noWrap/>
            <w:hideMark/>
          </w:tcPr>
          <w:p w14:paraId="30C71CA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61A206E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94973</w:t>
            </w:r>
          </w:p>
        </w:tc>
        <w:tc>
          <w:tcPr>
            <w:tcW w:w="1040" w:type="dxa"/>
            <w:hideMark/>
          </w:tcPr>
          <w:p w14:paraId="1FF0CC6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TECNICHE DI SIMULAZIONE E PIANIFICAZIONE</w:t>
            </w:r>
          </w:p>
        </w:tc>
        <w:tc>
          <w:tcPr>
            <w:tcW w:w="1276" w:type="dxa"/>
            <w:hideMark/>
          </w:tcPr>
          <w:p w14:paraId="73DD58A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SIMULATION TECHNOLOGIES AND PLANNING</w:t>
            </w:r>
          </w:p>
        </w:tc>
        <w:tc>
          <w:tcPr>
            <w:tcW w:w="567" w:type="dxa"/>
            <w:noWrap/>
            <w:hideMark/>
          </w:tcPr>
          <w:p w14:paraId="0D9E564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0E60E5B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MAT/09</w:t>
            </w:r>
          </w:p>
        </w:tc>
        <w:tc>
          <w:tcPr>
            <w:tcW w:w="850" w:type="dxa"/>
            <w:hideMark/>
          </w:tcPr>
          <w:p w14:paraId="365A7ED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48C0EF9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Statistico-Matematico</w:t>
            </w:r>
          </w:p>
        </w:tc>
        <w:tc>
          <w:tcPr>
            <w:tcW w:w="850" w:type="dxa"/>
            <w:noWrap/>
            <w:hideMark/>
          </w:tcPr>
          <w:p w14:paraId="2CB587B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4B24795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14F83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principale fornire le competenze necessarie (modellistiche, metodologiche e di padronanza di ambienti sw)  per la risoluzione di problemi decisionali di pianificazione strategica ed operativa nel trasporto marittimo di merci e di persone e nella logistica  portuale, valutandone le prestazioni sia in termini di efficienza operativa che di sostenibilità economica. Lo svolgimento delle lezioni  interamente in aula informatica consente la risoluzione e l'analisi di casi di studio, individualmente e in gruppo, con il docente,  sviluppando quindi competenze di team working e di problem solving.</w:t>
            </w:r>
          </w:p>
        </w:tc>
        <w:tc>
          <w:tcPr>
            <w:tcW w:w="2977" w:type="dxa"/>
            <w:hideMark/>
          </w:tcPr>
          <w:p w14:paraId="7270D1D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give students the basic modelling, methodological and sw tool competences to analyze complex maritime  transportation systems of goods and people and support the decision making process. The basic optimization problem in this field will be analyzed and solved; the main performance indices will be described and evaluated. Classes conducted entirely in the computer room allow the development and analysis of case studies in the classroom with the lecturer and in groups, thus improving team working and problem solving skills.</w:t>
            </w:r>
          </w:p>
        </w:tc>
        <w:tc>
          <w:tcPr>
            <w:tcW w:w="709" w:type="dxa"/>
            <w:noWrap/>
            <w:hideMark/>
          </w:tcPr>
          <w:p w14:paraId="6D302E7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6C73EFD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19AC18D1" w14:textId="77777777" w:rsidTr="00C43903">
        <w:trPr>
          <w:trHeight w:val="2541"/>
        </w:trPr>
        <w:tc>
          <w:tcPr>
            <w:tcW w:w="529" w:type="dxa"/>
            <w:noWrap/>
            <w:hideMark/>
          </w:tcPr>
          <w:p w14:paraId="35E41F7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0B97C63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102012</w:t>
            </w:r>
          </w:p>
        </w:tc>
        <w:tc>
          <w:tcPr>
            <w:tcW w:w="1040" w:type="dxa"/>
            <w:hideMark/>
          </w:tcPr>
          <w:p w14:paraId="589CD9D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ENGLISH LANGUAGE B2 LEVEL: DEVELOPMENT OF COMMUNICATION AND STUDY SKILLS FOR EMMP STUDENTS</w:t>
            </w:r>
          </w:p>
        </w:tc>
        <w:tc>
          <w:tcPr>
            <w:tcW w:w="1276" w:type="dxa"/>
            <w:hideMark/>
          </w:tcPr>
          <w:p w14:paraId="145EECF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ENGLISH LANGUAGE B2 LEVEL: DEVELOPMENT OF COMMUNICATION AND STUDY SKILLS FOR EMMP STUDENTS</w:t>
            </w:r>
          </w:p>
        </w:tc>
        <w:tc>
          <w:tcPr>
            <w:tcW w:w="567" w:type="dxa"/>
            <w:noWrap/>
            <w:hideMark/>
          </w:tcPr>
          <w:p w14:paraId="18B5BF5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0F7A068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L-LIN/12</w:t>
            </w:r>
          </w:p>
        </w:tc>
        <w:tc>
          <w:tcPr>
            <w:tcW w:w="850" w:type="dxa"/>
            <w:hideMark/>
          </w:tcPr>
          <w:p w14:paraId="575963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1B4731A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15486ED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709" w:type="dxa"/>
            <w:hideMark/>
          </w:tcPr>
          <w:p w14:paraId="16D2120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409F55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Migliorare le competenze linguistiche necessarie per usare la lingua soprattutto nell'ambito settoriale e accademico. Consolidare il livello B2.</w:t>
            </w:r>
          </w:p>
        </w:tc>
        <w:tc>
          <w:tcPr>
            <w:tcW w:w="2977" w:type="dxa"/>
            <w:hideMark/>
          </w:tcPr>
          <w:p w14:paraId="5D1645A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Improve English language skills in the business/commercial sectors as well as for academic purposes. Consolidate the B2 English language level.</w:t>
            </w:r>
          </w:p>
        </w:tc>
        <w:tc>
          <w:tcPr>
            <w:tcW w:w="709" w:type="dxa"/>
            <w:noWrap/>
            <w:hideMark/>
          </w:tcPr>
          <w:p w14:paraId="3A79F35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0</w:t>
            </w:r>
          </w:p>
        </w:tc>
        <w:tc>
          <w:tcPr>
            <w:tcW w:w="589" w:type="dxa"/>
            <w:noWrap/>
            <w:hideMark/>
          </w:tcPr>
          <w:p w14:paraId="7379909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0</w:t>
            </w:r>
          </w:p>
        </w:tc>
      </w:tr>
      <w:tr w:rsidR="00E13452" w:rsidRPr="00320763" w14:paraId="52BDF249" w14:textId="77777777" w:rsidTr="00C43903">
        <w:trPr>
          <w:trHeight w:val="416"/>
        </w:trPr>
        <w:tc>
          <w:tcPr>
            <w:tcW w:w="529" w:type="dxa"/>
            <w:noWrap/>
            <w:hideMark/>
          </w:tcPr>
          <w:p w14:paraId="7A40D36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23FC041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102015</w:t>
            </w:r>
          </w:p>
        </w:tc>
        <w:tc>
          <w:tcPr>
            <w:tcW w:w="1040" w:type="dxa"/>
            <w:hideMark/>
          </w:tcPr>
          <w:p w14:paraId="1634E99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ECONOMIA DELLE RETI E DELLE INFRASTRUTTURE</w:t>
            </w:r>
          </w:p>
        </w:tc>
        <w:tc>
          <w:tcPr>
            <w:tcW w:w="1276" w:type="dxa"/>
            <w:hideMark/>
          </w:tcPr>
          <w:p w14:paraId="06F2823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INFRASTRUCTURE AND NETWORK ECONOMICS</w:t>
            </w:r>
          </w:p>
        </w:tc>
        <w:tc>
          <w:tcPr>
            <w:tcW w:w="567" w:type="dxa"/>
            <w:noWrap/>
            <w:hideMark/>
          </w:tcPr>
          <w:p w14:paraId="207AB74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1ED5C7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SECS-P/06</w:t>
            </w:r>
          </w:p>
        </w:tc>
        <w:tc>
          <w:tcPr>
            <w:tcW w:w="850" w:type="dxa"/>
            <w:hideMark/>
          </w:tcPr>
          <w:p w14:paraId="0A60E4B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4233173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Economico</w:t>
            </w:r>
          </w:p>
        </w:tc>
        <w:tc>
          <w:tcPr>
            <w:tcW w:w="850" w:type="dxa"/>
            <w:noWrap/>
            <w:hideMark/>
          </w:tcPr>
          <w:p w14:paraId="3D0FB2C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1E49CBB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019F6E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Solida conoscenza degli aspetti teorici e capacità di applicazione delle tecniche di: - stima dell’impatto economico e sociale delle infrastrutture di trasporto; - valutazione costi-benefici di </w:t>
            </w:r>
            <w:r w:rsidRPr="00320763">
              <w:rPr>
                <w:rFonts w:ascii="Calibri" w:hAnsi="Calibri"/>
                <w:bCs/>
                <w:sz w:val="18"/>
                <w:szCs w:val="18"/>
              </w:rPr>
              <w:lastRenderedPageBreak/>
              <w:t xml:space="preserve">investimenti in infrastrutture; - analisi delle industrie a rete </w:t>
            </w:r>
          </w:p>
        </w:tc>
        <w:tc>
          <w:tcPr>
            <w:tcW w:w="2977" w:type="dxa"/>
            <w:hideMark/>
          </w:tcPr>
          <w:p w14:paraId="4F214B8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Good knowledge of the theoretical contributions and ability to apply the techniques of estimation of the economic and social impact, cost-benefit analysis and complex network theory to the transport sector.</w:t>
            </w:r>
          </w:p>
        </w:tc>
        <w:tc>
          <w:tcPr>
            <w:tcW w:w="709" w:type="dxa"/>
            <w:noWrap/>
            <w:hideMark/>
          </w:tcPr>
          <w:p w14:paraId="4B5AD3C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767A73E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69369CCC" w14:textId="77777777" w:rsidTr="00C43903">
        <w:trPr>
          <w:trHeight w:val="4850"/>
        </w:trPr>
        <w:tc>
          <w:tcPr>
            <w:tcW w:w="529" w:type="dxa"/>
            <w:noWrap/>
            <w:hideMark/>
          </w:tcPr>
          <w:p w14:paraId="5C04B45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3B87FF1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106971</w:t>
            </w:r>
          </w:p>
        </w:tc>
        <w:tc>
          <w:tcPr>
            <w:tcW w:w="1040" w:type="dxa"/>
            <w:hideMark/>
          </w:tcPr>
          <w:p w14:paraId="6B52151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LABORATORIO DI ANALISI DEI DATI DOGANALI</w:t>
            </w:r>
          </w:p>
        </w:tc>
        <w:tc>
          <w:tcPr>
            <w:tcW w:w="1276" w:type="dxa"/>
            <w:hideMark/>
          </w:tcPr>
          <w:p w14:paraId="4700A1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CUSTOMS DATA ANALYTICS LAB</w:t>
            </w:r>
          </w:p>
        </w:tc>
        <w:tc>
          <w:tcPr>
            <w:tcW w:w="567" w:type="dxa"/>
            <w:noWrap/>
            <w:hideMark/>
          </w:tcPr>
          <w:p w14:paraId="7E3C91C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74B27E2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SECS-P/06</w:t>
            </w:r>
          </w:p>
        </w:tc>
        <w:tc>
          <w:tcPr>
            <w:tcW w:w="850" w:type="dxa"/>
            <w:hideMark/>
          </w:tcPr>
          <w:p w14:paraId="7E9F656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44011CC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79B9860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5D56EFC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6B39018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quello di fornire allo studente le competenze tecniche necessarie a supportare l’attività di ricerca in campo economico con riferimento alla gestione, elaborazione ed al reporting di analisi su fonti statistiche amministrative di grande dimensione. Particolare rilievo viene dato alla lettura economica dei risultati. Il contesto applicativo riguarda l’analisi dei dati dei flussi merceologici import/export di origine doganale con particolare riferimento alla modalità di trasporto marittima. Tali analisi hanno come obiettivo lo studio di una delle componenti più rilevanti della bilancia commerciale italiana, la definizione dei flussi commerciali marittimi a livello di singola Autorità di Sistema Portuale, l’identificazione delle filiere merceologiche che insistono su un territorio e lo studio dell’hinterland marittimo di un porto. L’intero corso sarà svolto in aula informatica utilizzando MS Excel per il trattamento e l’analisi dei dati.</w:t>
            </w:r>
          </w:p>
        </w:tc>
        <w:tc>
          <w:tcPr>
            <w:tcW w:w="2977" w:type="dxa"/>
            <w:hideMark/>
          </w:tcPr>
          <w:p w14:paraId="04FD65C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at providing students with the technical skills required to support research in economics with regard to the management, processing and reporting of analyses on large size administrative statistical sources. Particular emphasis will be given to the economic interpretation of results. The application context will concern the analysis of data on import/export flows of goods handled by Italian Customs Offices with particular reference to the maritime mode of transport. The aim of these analyses is to study one of the most relevant component of the Italian balance of trade, the definition of maritime trade flows of each Port Authority, the identification of commodity chains that insist on a geographical area and the study of the maritime hinterland of a port. The entire course will be carried out in computer lab using MS Excel for data processing and analysis.</w:t>
            </w:r>
          </w:p>
        </w:tc>
        <w:tc>
          <w:tcPr>
            <w:tcW w:w="709" w:type="dxa"/>
            <w:noWrap/>
            <w:hideMark/>
          </w:tcPr>
          <w:p w14:paraId="083637F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230DF32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297BD344" w14:textId="77777777" w:rsidTr="00C43903">
        <w:trPr>
          <w:trHeight w:val="3534"/>
        </w:trPr>
        <w:tc>
          <w:tcPr>
            <w:tcW w:w="529" w:type="dxa"/>
            <w:noWrap/>
            <w:hideMark/>
          </w:tcPr>
          <w:p w14:paraId="6F2A38B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1</w:t>
            </w:r>
          </w:p>
        </w:tc>
        <w:tc>
          <w:tcPr>
            <w:tcW w:w="836" w:type="dxa"/>
            <w:noWrap/>
            <w:hideMark/>
          </w:tcPr>
          <w:p w14:paraId="41CDBE6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107500</w:t>
            </w:r>
          </w:p>
        </w:tc>
        <w:tc>
          <w:tcPr>
            <w:tcW w:w="1040" w:type="dxa"/>
            <w:hideMark/>
          </w:tcPr>
          <w:p w14:paraId="0D0F83F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LABORATORIO DI AUTOSVILUPPO E AUTOAPPRENDIMENTO GUIDATO DELLE COMPETENZE ABILITANTI LM ECONOMIA)</w:t>
            </w:r>
          </w:p>
        </w:tc>
        <w:tc>
          <w:tcPr>
            <w:tcW w:w="1276" w:type="dxa"/>
            <w:hideMark/>
          </w:tcPr>
          <w:p w14:paraId="274653D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SELF-DEVELOPMENT WORKSHOP AND GUIDED SELF-LEARNING  OF ENABLING COMPETENCES  (LIFE SKILLS, DIGITAL SKILLS AND SOFT SKILLS) LM</w:t>
            </w:r>
          </w:p>
        </w:tc>
        <w:tc>
          <w:tcPr>
            <w:tcW w:w="567" w:type="dxa"/>
            <w:noWrap/>
            <w:hideMark/>
          </w:tcPr>
          <w:p w14:paraId="500AAF3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44F11B4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70B0A9D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447093A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2DDCE23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0DDEC6C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367B6FC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Le studentesse e gli studenti impareranno a scoprire i propri punti di forza e potenziarli e i propri aspetti da migliorare, impareranno come ci si confronta e come si agisce in un sistema professionale capendo cosa interessa loro e come ottenerlo per loro stessi. Un vantaggio immediato sarà di potere organizzare meglio i propri studi e gestire il proprio tempo con successo, ottenendo di più e con meno fatica dal proprio percorso di studi.</w:t>
            </w:r>
          </w:p>
        </w:tc>
        <w:tc>
          <w:tcPr>
            <w:tcW w:w="2977" w:type="dxa"/>
            <w:hideMark/>
          </w:tcPr>
          <w:p w14:paraId="387B9F0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Female students will learn to discover their strengths and enhance them and their own aspects to improve, learn how to compare and act in a professional system by understanding what interests them and how to achieve it for themselves. An immediate benefit will be to be able to better organize their studies and manage their time successfully, getting more out of their studies and with less effort.</w:t>
            </w:r>
          </w:p>
        </w:tc>
        <w:tc>
          <w:tcPr>
            <w:tcW w:w="709" w:type="dxa"/>
            <w:noWrap/>
            <w:hideMark/>
          </w:tcPr>
          <w:p w14:paraId="798F92F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140546D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29748B05" w14:textId="77777777" w:rsidTr="00C43903">
        <w:trPr>
          <w:trHeight w:val="3913"/>
        </w:trPr>
        <w:tc>
          <w:tcPr>
            <w:tcW w:w="529" w:type="dxa"/>
            <w:noWrap/>
            <w:hideMark/>
          </w:tcPr>
          <w:p w14:paraId="0E64A8C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w:t>
            </w:r>
          </w:p>
        </w:tc>
        <w:tc>
          <w:tcPr>
            <w:tcW w:w="836" w:type="dxa"/>
            <w:noWrap/>
            <w:hideMark/>
          </w:tcPr>
          <w:p w14:paraId="46ABA24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111371</w:t>
            </w:r>
          </w:p>
        </w:tc>
        <w:tc>
          <w:tcPr>
            <w:tcW w:w="1040" w:type="dxa"/>
            <w:hideMark/>
          </w:tcPr>
          <w:p w14:paraId="417E2CC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SHIPPING ENGLISH</w:t>
            </w:r>
          </w:p>
        </w:tc>
        <w:tc>
          <w:tcPr>
            <w:tcW w:w="1276" w:type="dxa"/>
            <w:hideMark/>
          </w:tcPr>
          <w:p w14:paraId="2089A39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SHIPPING ENGLISH</w:t>
            </w:r>
          </w:p>
        </w:tc>
        <w:tc>
          <w:tcPr>
            <w:tcW w:w="567" w:type="dxa"/>
            <w:noWrap/>
            <w:hideMark/>
          </w:tcPr>
          <w:p w14:paraId="5B55C00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03B3D2A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L-LIN/12</w:t>
            </w:r>
          </w:p>
        </w:tc>
        <w:tc>
          <w:tcPr>
            <w:tcW w:w="850" w:type="dxa"/>
            <w:hideMark/>
          </w:tcPr>
          <w:p w14:paraId="24A47CC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55529AC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5D09AE7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577819E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102012 - ENGLISH LANGUAGE B2 LEVEL: DEVELOPMENT OF COMMUNICATION AND STUDY SKILLS FOR EMMP STUDENTS (Obbligatorio)</w:t>
            </w:r>
          </w:p>
        </w:tc>
        <w:tc>
          <w:tcPr>
            <w:tcW w:w="3118" w:type="dxa"/>
            <w:hideMark/>
          </w:tcPr>
          <w:p w14:paraId="3587602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mira a rafforzare le capacità comunicative in lingua inglese al livello B2 in ambiti professionali. Verranno trattati i seguenti argomenti: la catena di approvvigionamento e il trasporto internazionale; il contratto di trasporto; l'assicurazione marittima; il ruolo delle dogane nelle trattative commerciali</w:t>
            </w:r>
          </w:p>
        </w:tc>
        <w:tc>
          <w:tcPr>
            <w:tcW w:w="2977" w:type="dxa"/>
            <w:hideMark/>
          </w:tcPr>
          <w:p w14:paraId="257FB35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 The course aims to strengthen professional communication skills, both receptive and productive, in English at the B2 level of the CEFR. </w:t>
            </w:r>
            <w:r w:rsidRPr="00320763">
              <w:rPr>
                <w:rFonts w:ascii="Calibri" w:hAnsi="Calibri"/>
                <w:bCs/>
                <w:sz w:val="18"/>
                <w:szCs w:val="18"/>
              </w:rPr>
              <w:br/>
              <w:t>Focus is placed on the following interrelated topics: the supply chain and international transport; the contract of carriage; marine insurance; trade facilitation and the role of customs</w:t>
            </w:r>
          </w:p>
        </w:tc>
        <w:tc>
          <w:tcPr>
            <w:tcW w:w="709" w:type="dxa"/>
            <w:noWrap/>
            <w:hideMark/>
          </w:tcPr>
          <w:p w14:paraId="2F0F28C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739B576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692B82C3" w14:textId="77777777" w:rsidTr="00C43903">
        <w:trPr>
          <w:trHeight w:val="2772"/>
        </w:trPr>
        <w:tc>
          <w:tcPr>
            <w:tcW w:w="529" w:type="dxa"/>
            <w:noWrap/>
            <w:hideMark/>
          </w:tcPr>
          <w:p w14:paraId="770603A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1</w:t>
            </w:r>
          </w:p>
        </w:tc>
        <w:tc>
          <w:tcPr>
            <w:tcW w:w="836" w:type="dxa"/>
            <w:noWrap/>
            <w:hideMark/>
          </w:tcPr>
          <w:p w14:paraId="3CC7DAE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111521</w:t>
            </w:r>
          </w:p>
        </w:tc>
        <w:tc>
          <w:tcPr>
            <w:tcW w:w="1040" w:type="dxa"/>
            <w:hideMark/>
          </w:tcPr>
          <w:p w14:paraId="5A261F8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CUSTOMS AND TAX LAW AND PRACTICE</w:t>
            </w:r>
          </w:p>
        </w:tc>
        <w:tc>
          <w:tcPr>
            <w:tcW w:w="1276" w:type="dxa"/>
            <w:hideMark/>
          </w:tcPr>
          <w:p w14:paraId="0394FDD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CUSTOMS AND TAX LAW AND PRACTICE</w:t>
            </w:r>
          </w:p>
        </w:tc>
        <w:tc>
          <w:tcPr>
            <w:tcW w:w="567" w:type="dxa"/>
            <w:noWrap/>
            <w:hideMark/>
          </w:tcPr>
          <w:p w14:paraId="05DB4C5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490B9B2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5D4B742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32B36E8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28A42F0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3DABD37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03DB519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quello di fornire allo studente le competenze basilari relative ai presupposti giuridici e all'applicazione professionale dei sistemi di tassazione (diretti ed indiretti) delle imprese attive nel settore marittimo. In tale contesto saranno analizzati i regimi fiscali tipici e gli strumenti agevolativi disponibili a livello nazionale ed internazionale, con particolare enfasi sui modelli di tonnage tax.  Infine, verranno introdotti i principi essenziali del diritto e della tecnica doganale che interessano le attività marittimo portuali</w:t>
            </w:r>
          </w:p>
        </w:tc>
        <w:tc>
          <w:tcPr>
            <w:tcW w:w="2977" w:type="dxa"/>
            <w:hideMark/>
          </w:tcPr>
          <w:p w14:paraId="0FD703C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to provide the student with the basic skills relating to the legal conditions and the professional application of the taxation systems (direct and indirect) of companies active in the maritime sector. In this context, typical tax regimes and aid instruments available at national and international level will be analysed, with particular emphasis on tonnage tax models. Finally, the essential principles of customs law and techniques concerning maritime port activities will be introduced.</w:t>
            </w:r>
          </w:p>
        </w:tc>
        <w:tc>
          <w:tcPr>
            <w:tcW w:w="709" w:type="dxa"/>
            <w:noWrap/>
            <w:hideMark/>
          </w:tcPr>
          <w:p w14:paraId="46B79F1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0D5DF92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14525A12" w14:textId="77777777" w:rsidTr="00C43903">
        <w:trPr>
          <w:trHeight w:val="983"/>
        </w:trPr>
        <w:tc>
          <w:tcPr>
            <w:tcW w:w="529" w:type="dxa"/>
            <w:noWrap/>
            <w:hideMark/>
          </w:tcPr>
          <w:p w14:paraId="454464E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6BDEF71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55535</w:t>
            </w:r>
          </w:p>
        </w:tc>
        <w:tc>
          <w:tcPr>
            <w:tcW w:w="1040" w:type="dxa"/>
            <w:hideMark/>
          </w:tcPr>
          <w:p w14:paraId="63BAD22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MARKETING DEI SERVIZI DI TRASPORTO</w:t>
            </w:r>
          </w:p>
        </w:tc>
        <w:tc>
          <w:tcPr>
            <w:tcW w:w="1276" w:type="dxa"/>
            <w:hideMark/>
          </w:tcPr>
          <w:p w14:paraId="111DDC7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MARKETING FOR TRANSPORT SERVICES</w:t>
            </w:r>
          </w:p>
        </w:tc>
        <w:tc>
          <w:tcPr>
            <w:tcW w:w="567" w:type="dxa"/>
            <w:noWrap/>
            <w:hideMark/>
          </w:tcPr>
          <w:p w14:paraId="41A0A6F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4B3124D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SECS-P/08</w:t>
            </w:r>
          </w:p>
        </w:tc>
        <w:tc>
          <w:tcPr>
            <w:tcW w:w="850" w:type="dxa"/>
            <w:hideMark/>
          </w:tcPr>
          <w:p w14:paraId="3760572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05FB57D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Aziendale</w:t>
            </w:r>
          </w:p>
        </w:tc>
        <w:tc>
          <w:tcPr>
            <w:tcW w:w="850" w:type="dxa"/>
            <w:noWrap/>
            <w:hideMark/>
          </w:tcPr>
          <w:p w14:paraId="1665BE8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584C133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7989352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dopo aver esaminato le principali categorie concettuali proprie del marketing strategico e del marketing operativo nonché gli strumenti per l’analisi dell’ambiente competitivo e dei mercati di riferimento, si propone di fornire agli studenti un ampio quadro conoscitivo circa gli elementi propri della funzione commerciale e di marketing con specifico riferimento alle imprese marittimo-portuali, della logistica e dei trasporti. L’insegnamento fornisce inoltre utili strumenti manageriali e di marketing a supporto dell’analisi strategica dei mercati e dei bisogni dei clienti, delle decisioni strategiche, della definizione e implementazione delle leve di marketing e per il controllo dei risultati aziendali. L’insegnamento prevede una parte applicativa sia nei contesti B2B che B2C dei servizi di trasporto, con particolare riferimento alle imprese crocieristiche e di shipping, ai terminalisti e alle autorità portuali, nonché agli operatori del </w:t>
            </w:r>
            <w:r w:rsidRPr="00320763">
              <w:rPr>
                <w:rFonts w:ascii="Calibri" w:hAnsi="Calibri"/>
                <w:bCs/>
                <w:sz w:val="18"/>
                <w:szCs w:val="18"/>
              </w:rPr>
              <w:lastRenderedPageBreak/>
              <w:t>trasporto aereo e del trasporto ferroviario.</w:t>
            </w:r>
          </w:p>
        </w:tc>
        <w:tc>
          <w:tcPr>
            <w:tcW w:w="2977" w:type="dxa"/>
            <w:hideMark/>
          </w:tcPr>
          <w:p w14:paraId="1FCA4BF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The teaching, after examining the main conceptual categories of strategic marketing and operational marketing, as well as analyzing the tools for the analysis of the competitive environment and the target markets, aims to provide students with a broad knowledge of the key elements of the sale and marketing functions, with specific reference to their application in the maritime-port, logistics and transport fields.</w:t>
            </w:r>
            <w:r w:rsidRPr="00320763">
              <w:rPr>
                <w:rFonts w:ascii="Calibri" w:hAnsi="Calibri"/>
                <w:bCs/>
                <w:sz w:val="18"/>
                <w:szCs w:val="18"/>
              </w:rPr>
              <w:br/>
              <w:t xml:space="preserve">The teaching also provides useful managerial and marketing tools to support the strategic analysis of markets and customer needs, strategic decisions related to the market and the customers/clients, the definition and implementation of the operational marketing mix and the control of market-oriented KPIs. The teaching includes an empirical part referring both to B2B and B2C transport services, emphasizing the characteristics of cruise and shipping </w:t>
            </w:r>
            <w:r w:rsidRPr="00320763">
              <w:rPr>
                <w:rFonts w:ascii="Calibri" w:hAnsi="Calibri"/>
                <w:bCs/>
                <w:sz w:val="18"/>
                <w:szCs w:val="18"/>
              </w:rPr>
              <w:lastRenderedPageBreak/>
              <w:t>companies, terminal operators and port authorities, airlines and railway transport operators.</w:t>
            </w:r>
          </w:p>
        </w:tc>
        <w:tc>
          <w:tcPr>
            <w:tcW w:w="709" w:type="dxa"/>
            <w:noWrap/>
            <w:hideMark/>
          </w:tcPr>
          <w:p w14:paraId="2ED1920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72</w:t>
            </w:r>
          </w:p>
        </w:tc>
        <w:tc>
          <w:tcPr>
            <w:tcW w:w="589" w:type="dxa"/>
            <w:noWrap/>
            <w:hideMark/>
          </w:tcPr>
          <w:p w14:paraId="38DD13E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6A034E35" w14:textId="77777777" w:rsidTr="00C43903">
        <w:trPr>
          <w:trHeight w:val="2541"/>
        </w:trPr>
        <w:tc>
          <w:tcPr>
            <w:tcW w:w="529" w:type="dxa"/>
            <w:noWrap/>
            <w:hideMark/>
          </w:tcPr>
          <w:p w14:paraId="3656186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1FF2827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57451</w:t>
            </w:r>
          </w:p>
        </w:tc>
        <w:tc>
          <w:tcPr>
            <w:tcW w:w="1040" w:type="dxa"/>
            <w:hideMark/>
          </w:tcPr>
          <w:p w14:paraId="35846D7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TIROCINIO</w:t>
            </w:r>
          </w:p>
        </w:tc>
        <w:tc>
          <w:tcPr>
            <w:tcW w:w="1276" w:type="dxa"/>
            <w:hideMark/>
          </w:tcPr>
          <w:p w14:paraId="346864B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APPRENTICESHIPS</w:t>
            </w:r>
          </w:p>
        </w:tc>
        <w:tc>
          <w:tcPr>
            <w:tcW w:w="567" w:type="dxa"/>
            <w:noWrap/>
            <w:hideMark/>
          </w:tcPr>
          <w:p w14:paraId="23EBBAC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256A6F3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7F3A616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7DB7C25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0DA7BC0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709" w:type="dxa"/>
            <w:hideMark/>
          </w:tcPr>
          <w:p w14:paraId="76E44CF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2F68F74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 tirocini di formazione ed orientamento sono i percorsi di apprendimento pratico-applicativo svolti, presso imprese o enti convenzionati con il Dipartimento o con l’Ateneo, durante il periodo di iscrizione ad uno dei corsi attivati dal Dipartimento di Economia (corsi di Laurea di primo livello o corsi di Laurea Magistrale).</w:t>
            </w:r>
            <w:r w:rsidRPr="00320763">
              <w:rPr>
                <w:rFonts w:ascii="Calibri" w:hAnsi="Calibri"/>
                <w:bCs/>
                <w:sz w:val="18"/>
                <w:szCs w:val="18"/>
              </w:rPr>
              <w:br/>
              <w:t>Il progetto formativo dei tirocini ha finalità pratico-applicative che integrano le conoscenze teoriche già acquisite o in corso di acquisizione nel percorso formativo universitario.</w:t>
            </w:r>
          </w:p>
        </w:tc>
        <w:tc>
          <w:tcPr>
            <w:tcW w:w="2977" w:type="dxa"/>
            <w:hideMark/>
          </w:tcPr>
          <w:p w14:paraId="68E2E89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training and orientation internships are the practical and applicative learning paths carried out, in companies or organizations affiliated with the Department or with the University, during the period of enrollment in one of the courses activated by the Department of Economics (Degree courses of first level or Master's Degree courses)</w:t>
            </w:r>
          </w:p>
        </w:tc>
        <w:tc>
          <w:tcPr>
            <w:tcW w:w="709" w:type="dxa"/>
            <w:noWrap/>
            <w:hideMark/>
          </w:tcPr>
          <w:p w14:paraId="64027AA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150</w:t>
            </w:r>
          </w:p>
        </w:tc>
        <w:tc>
          <w:tcPr>
            <w:tcW w:w="589" w:type="dxa"/>
            <w:noWrap/>
            <w:hideMark/>
          </w:tcPr>
          <w:p w14:paraId="4E27DAD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0</w:t>
            </w:r>
          </w:p>
        </w:tc>
      </w:tr>
      <w:tr w:rsidR="00E13452" w:rsidRPr="00320763" w14:paraId="5A03ECF2" w14:textId="77777777" w:rsidTr="00C43903">
        <w:trPr>
          <w:trHeight w:val="2541"/>
        </w:trPr>
        <w:tc>
          <w:tcPr>
            <w:tcW w:w="529" w:type="dxa"/>
            <w:noWrap/>
            <w:hideMark/>
          </w:tcPr>
          <w:p w14:paraId="1BDC3AD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6ACB3AE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60072</w:t>
            </w:r>
          </w:p>
        </w:tc>
        <w:tc>
          <w:tcPr>
            <w:tcW w:w="1040" w:type="dxa"/>
            <w:hideMark/>
          </w:tcPr>
          <w:p w14:paraId="119F8B1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PROVA FINALE LM</w:t>
            </w:r>
          </w:p>
        </w:tc>
        <w:tc>
          <w:tcPr>
            <w:tcW w:w="1276" w:type="dxa"/>
            <w:hideMark/>
          </w:tcPr>
          <w:p w14:paraId="30A866E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FINAL EXAM</w:t>
            </w:r>
          </w:p>
        </w:tc>
        <w:tc>
          <w:tcPr>
            <w:tcW w:w="567" w:type="dxa"/>
            <w:noWrap/>
            <w:hideMark/>
          </w:tcPr>
          <w:p w14:paraId="4780421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w:t>
            </w:r>
          </w:p>
        </w:tc>
        <w:tc>
          <w:tcPr>
            <w:tcW w:w="567" w:type="dxa"/>
            <w:hideMark/>
          </w:tcPr>
          <w:p w14:paraId="1E7489E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77DC48E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PROVA FINALE</w:t>
            </w:r>
          </w:p>
        </w:tc>
        <w:tc>
          <w:tcPr>
            <w:tcW w:w="993" w:type="dxa"/>
            <w:hideMark/>
          </w:tcPr>
          <w:p w14:paraId="58E6814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Per la Prova Finale</w:t>
            </w:r>
          </w:p>
        </w:tc>
        <w:tc>
          <w:tcPr>
            <w:tcW w:w="850" w:type="dxa"/>
            <w:noWrap/>
            <w:hideMark/>
          </w:tcPr>
          <w:p w14:paraId="1DFAE1F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3CBB20F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71EC569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 prova finale consiste nella discussione pubblica della tesi, dinanzi ad apposita Commissione, guidata dal relatore con la partecipazione di un correlatore appartenente all’area scientifica dell’insegnamento nel cui ambito è stata svolta la tesi. La tesi si qualifica per metodo di ricerca, adeguata conoscenza e utilizzazione di una bibliografia e/o di una ricerca giurisprudenziale completa ed aggiornata, padronanza della materia ed impegno critico.</w:t>
            </w:r>
          </w:p>
        </w:tc>
        <w:tc>
          <w:tcPr>
            <w:tcW w:w="2977" w:type="dxa"/>
            <w:hideMark/>
          </w:tcPr>
          <w:p w14:paraId="12C35EF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final exam consists in the public discussion of the thesis, before a special Commission, guided by the supervisor with the participation of a co-rapporteur belonging to the scientific area of ​​teaching in which the thesis was carried out. The thesis qualifies for research method, adequate knowledge and use of a bibliography and / or a complete and updated jurisprudential research, mastery of the subject and critical engagement.</w:t>
            </w:r>
          </w:p>
        </w:tc>
        <w:tc>
          <w:tcPr>
            <w:tcW w:w="709" w:type="dxa"/>
            <w:noWrap/>
            <w:hideMark/>
          </w:tcPr>
          <w:p w14:paraId="6C1ED78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0</w:t>
            </w:r>
          </w:p>
        </w:tc>
        <w:tc>
          <w:tcPr>
            <w:tcW w:w="589" w:type="dxa"/>
            <w:noWrap/>
            <w:hideMark/>
          </w:tcPr>
          <w:p w14:paraId="763E95C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375</w:t>
            </w:r>
          </w:p>
        </w:tc>
      </w:tr>
      <w:tr w:rsidR="00E13452" w:rsidRPr="00320763" w14:paraId="58DBC631" w14:textId="77777777" w:rsidTr="00C43903">
        <w:trPr>
          <w:trHeight w:val="2772"/>
        </w:trPr>
        <w:tc>
          <w:tcPr>
            <w:tcW w:w="529" w:type="dxa"/>
            <w:noWrap/>
            <w:hideMark/>
          </w:tcPr>
          <w:p w14:paraId="63A5E60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6E76FD9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60096</w:t>
            </w:r>
          </w:p>
        </w:tc>
        <w:tc>
          <w:tcPr>
            <w:tcW w:w="1040" w:type="dxa"/>
            <w:hideMark/>
          </w:tcPr>
          <w:p w14:paraId="65EAD87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SHIP AGENCY AND MANAGEMENT</w:t>
            </w:r>
          </w:p>
        </w:tc>
        <w:tc>
          <w:tcPr>
            <w:tcW w:w="1276" w:type="dxa"/>
            <w:hideMark/>
          </w:tcPr>
          <w:p w14:paraId="7D7FA5B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SHIP AGENCY AND MANAGEMENT</w:t>
            </w:r>
          </w:p>
        </w:tc>
        <w:tc>
          <w:tcPr>
            <w:tcW w:w="567" w:type="dxa"/>
            <w:noWrap/>
            <w:hideMark/>
          </w:tcPr>
          <w:p w14:paraId="250494A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3BC78F3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71CE85A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1AE9380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001608A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6855DDE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412EE9D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fondato su un approccio manageriale, si propone di analizzare le operazioni e le strategie delle imprese operanti nel settore marittimo. Il corso si concentra sui principali concetti teorici e prospettive relative alla domanda e alla segmentazione dei trasporti, all'implementazione e alla gestione della capacità di trasporto, al marketing, nonché alle strategie competitive e di crescita. Ulteriore focus sarà posto sulle multinazionali operanti nel settore dei trasporti, diversificando il rischio e il loro portafoglio di attività.</w:t>
            </w:r>
          </w:p>
        </w:tc>
        <w:tc>
          <w:tcPr>
            <w:tcW w:w="2977" w:type="dxa"/>
            <w:hideMark/>
          </w:tcPr>
          <w:p w14:paraId="3FCCEAE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To provide basic knowledge and tools for the access to the sector of "Maritime transport auxiliaries" (Ship Agents, Ship Brokers, Ship Managers). The professional profile thus trained will be able to deal with the companies that daily face the changes in the activity of maritime-port logistics.</w:t>
            </w:r>
          </w:p>
        </w:tc>
        <w:tc>
          <w:tcPr>
            <w:tcW w:w="709" w:type="dxa"/>
            <w:noWrap/>
            <w:hideMark/>
          </w:tcPr>
          <w:p w14:paraId="335CF3B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0FFF869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4AAFC93F" w14:textId="77777777" w:rsidTr="00C43903">
        <w:trPr>
          <w:trHeight w:val="5231"/>
        </w:trPr>
        <w:tc>
          <w:tcPr>
            <w:tcW w:w="529" w:type="dxa"/>
            <w:noWrap/>
            <w:hideMark/>
          </w:tcPr>
          <w:p w14:paraId="024F367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33EA60C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84208</w:t>
            </w:r>
          </w:p>
        </w:tc>
        <w:tc>
          <w:tcPr>
            <w:tcW w:w="1040" w:type="dxa"/>
            <w:hideMark/>
          </w:tcPr>
          <w:p w14:paraId="4190A14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LAW AND PRACTICE OF NATIONAL, EU AND INTERNATIONAL SHIPPING PROGRAMMES</w:t>
            </w:r>
          </w:p>
        </w:tc>
        <w:tc>
          <w:tcPr>
            <w:tcW w:w="1276" w:type="dxa"/>
            <w:hideMark/>
          </w:tcPr>
          <w:p w14:paraId="64889EA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LAW AND PRACTICE OF NATIONAL, EU AND INTERNATIONAL SHIPPING PROGRAMMES</w:t>
            </w:r>
          </w:p>
        </w:tc>
        <w:tc>
          <w:tcPr>
            <w:tcW w:w="567" w:type="dxa"/>
            <w:noWrap/>
            <w:hideMark/>
          </w:tcPr>
          <w:p w14:paraId="683B2F6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419762B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IUS/06</w:t>
            </w:r>
          </w:p>
        </w:tc>
        <w:tc>
          <w:tcPr>
            <w:tcW w:w="850" w:type="dxa"/>
            <w:hideMark/>
          </w:tcPr>
          <w:p w14:paraId="67B37C9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6BC0ADA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59D40F2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709" w:type="dxa"/>
            <w:hideMark/>
          </w:tcPr>
          <w:p w14:paraId="3757344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277C3B3E" w14:textId="0B4E75AB"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La finalità dell’insegnamento è quella di fornire strumenti legali e tecnici allo scopo di preparare sviluppare e gestire correttamente una proposta  progettuale, a livello sia nazionale che internazionale ed europeo,  nell’ambito del settore marittimo.  Questo insegnamento si propone, dopo una analitica panoramica della Unione Europea in generale con uno sguardo al settore marittimo, di offrire un approccio pratico sul come trovare un </w:t>
            </w:r>
            <w:r w:rsidR="00182016" w:rsidRPr="00320763">
              <w:rPr>
                <w:rFonts w:ascii="Calibri" w:hAnsi="Calibri"/>
                <w:bCs/>
                <w:sz w:val="18"/>
                <w:szCs w:val="18"/>
              </w:rPr>
              <w:t>bando per</w:t>
            </w:r>
            <w:r w:rsidRPr="00320763">
              <w:rPr>
                <w:rFonts w:ascii="Calibri" w:hAnsi="Calibri"/>
                <w:bCs/>
                <w:sz w:val="18"/>
                <w:szCs w:val="18"/>
              </w:rPr>
              <w:t xml:space="preserve"> una proposta progettuale  e come costruire un consorzio associativo in merito. Gli studenti acquisiranno non solo una conoscenza sullo stato giuridico ed organizzazione dell’Unione Europea, ma pure la professionalità richiesta per stendere una proposta progettuale orientata ad aver successo, per attuare il progetto e gestirne l’intera durata delle sue fasi includente un bilancio finanziario preventivo. Saranno invitati esperti esterni e progettisti professionali ad hoc che esporranno la loro esperienza.</w:t>
            </w:r>
          </w:p>
        </w:tc>
        <w:tc>
          <w:tcPr>
            <w:tcW w:w="2977" w:type="dxa"/>
            <w:hideMark/>
          </w:tcPr>
          <w:p w14:paraId="63F971A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provide legal and technical instruments in order to arrange properly a project proposal and develop and manage it in the shipping field at national, international and European levels. This course proposes , after an analytical overview of the E.U in general with a glance at the maritime field, to give a practical approach about where to find a call for proposal and how to build a partnership consortium. The students will acquire not only a knowledge of the EU status and organization, but also the needed skills in order to write a project proposal in a goal-oriented way,  implement the project and manage its entire life-cycle including the project budget. External experts and project managers who will share their experience will be invited.</w:t>
            </w:r>
          </w:p>
        </w:tc>
        <w:tc>
          <w:tcPr>
            <w:tcW w:w="709" w:type="dxa"/>
            <w:noWrap/>
            <w:hideMark/>
          </w:tcPr>
          <w:p w14:paraId="7389A2A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0231C71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160C17E4" w14:textId="77777777" w:rsidTr="00C43903">
        <w:trPr>
          <w:trHeight w:val="3465"/>
        </w:trPr>
        <w:tc>
          <w:tcPr>
            <w:tcW w:w="529" w:type="dxa"/>
            <w:noWrap/>
            <w:hideMark/>
          </w:tcPr>
          <w:p w14:paraId="54C8547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245C931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87140</w:t>
            </w:r>
          </w:p>
        </w:tc>
        <w:tc>
          <w:tcPr>
            <w:tcW w:w="1040" w:type="dxa"/>
            <w:hideMark/>
          </w:tcPr>
          <w:p w14:paraId="0E83FF5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ANALISI DI MERCATO PER IL TRASPORTO MARITTIMO DI PERSONE</w:t>
            </w:r>
          </w:p>
        </w:tc>
        <w:tc>
          <w:tcPr>
            <w:tcW w:w="1276" w:type="dxa"/>
            <w:hideMark/>
          </w:tcPr>
          <w:p w14:paraId="78E6D37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MARKET ANALYSIS FOR TRANSPORTATION MANAGEMENT OF PEOPLE</w:t>
            </w:r>
          </w:p>
        </w:tc>
        <w:tc>
          <w:tcPr>
            <w:tcW w:w="567" w:type="dxa"/>
            <w:noWrap/>
            <w:hideMark/>
          </w:tcPr>
          <w:p w14:paraId="4A4A6A0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23D319A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SECS-S/03</w:t>
            </w:r>
          </w:p>
        </w:tc>
        <w:tc>
          <w:tcPr>
            <w:tcW w:w="850" w:type="dxa"/>
            <w:hideMark/>
          </w:tcPr>
          <w:p w14:paraId="748C574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46FD852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Statistico-Matematico</w:t>
            </w:r>
          </w:p>
        </w:tc>
        <w:tc>
          <w:tcPr>
            <w:tcW w:w="850" w:type="dxa"/>
            <w:noWrap/>
            <w:hideMark/>
          </w:tcPr>
          <w:p w14:paraId="06E9155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36E44F9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6FCF564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quello di fornire allo studente una panoramica dei principali strumenti per l’analisi di mercato, per la previsione della domanda e per la costruzione di modelli statistici. Il contesto applicativo riguarderà casi concreti di analisi a supporto delle decisioni aziendali nel settore del trasporto marittimo di persone. Il corso sarà interamente svolto in aula informatica per fornire agli studenti specifiche competenze nella gestione e nella analisi di dataset, anche di grandi dimensioni. Le esercitazioni saranno svolte utilizzando i più comuni software di gestione dati ed analisi statistica (Excel, R e STATA).</w:t>
            </w:r>
          </w:p>
        </w:tc>
        <w:tc>
          <w:tcPr>
            <w:tcW w:w="2977" w:type="dxa"/>
            <w:hideMark/>
          </w:tcPr>
          <w:p w14:paraId="002D177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at providing students with an overview of the main tools for market analysis, demand forecasting and statistical models construction. The application context will cover concrete cases of market analysis to support business decisions in the passenger transport sector. The course will be carried out entirely in the computer lab to provide students with specific skills in the management and analysis of datasets. The exercises will be carried out using the most common software for data management and statistical analysis (Excel, R and STATA).</w:t>
            </w:r>
          </w:p>
        </w:tc>
        <w:tc>
          <w:tcPr>
            <w:tcW w:w="709" w:type="dxa"/>
            <w:noWrap/>
            <w:hideMark/>
          </w:tcPr>
          <w:p w14:paraId="5CEA02E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187D32A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7BB66142" w14:textId="77777777" w:rsidTr="00C43903">
        <w:trPr>
          <w:trHeight w:val="2310"/>
        </w:trPr>
        <w:tc>
          <w:tcPr>
            <w:tcW w:w="529" w:type="dxa"/>
            <w:noWrap/>
            <w:hideMark/>
          </w:tcPr>
          <w:p w14:paraId="68FD51A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59326CF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90540</w:t>
            </w:r>
          </w:p>
        </w:tc>
        <w:tc>
          <w:tcPr>
            <w:tcW w:w="1040" w:type="dxa"/>
            <w:hideMark/>
          </w:tcPr>
          <w:p w14:paraId="7E8B8F9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ORGANIZZAZIONE E GESTIONE DELLE RISORSE UMANE NELLE IMPRESE MARITTIMO PORTUALI</w:t>
            </w:r>
          </w:p>
        </w:tc>
        <w:tc>
          <w:tcPr>
            <w:tcW w:w="1276" w:type="dxa"/>
            <w:hideMark/>
          </w:tcPr>
          <w:p w14:paraId="4B101C0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ORGANIZZAZIONE E GESTIONE DELLE RISORSE UMANE NELLE IMPRESE MARITTIMO PORTUALI</w:t>
            </w:r>
          </w:p>
        </w:tc>
        <w:tc>
          <w:tcPr>
            <w:tcW w:w="567" w:type="dxa"/>
            <w:noWrap/>
            <w:hideMark/>
          </w:tcPr>
          <w:p w14:paraId="440FE46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30B91AA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SECS-P/10</w:t>
            </w:r>
          </w:p>
        </w:tc>
        <w:tc>
          <w:tcPr>
            <w:tcW w:w="850" w:type="dxa"/>
            <w:hideMark/>
          </w:tcPr>
          <w:p w14:paraId="48415CF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0E97CB0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Aziendale</w:t>
            </w:r>
          </w:p>
        </w:tc>
        <w:tc>
          <w:tcPr>
            <w:tcW w:w="850" w:type="dxa"/>
            <w:noWrap/>
            <w:hideMark/>
          </w:tcPr>
          <w:p w14:paraId="7054322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6914792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17994F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l’obiettivo di fornire agli studenti le fondamentali chiavi teorico - interpretative e la strumentazione di base per l’analisi delle dinamiche organizzative, della gestione del personale e del comportamento organizzativo nelle imprese marittimo trasportistiche.</w:t>
            </w:r>
          </w:p>
        </w:tc>
        <w:tc>
          <w:tcPr>
            <w:tcW w:w="2977" w:type="dxa"/>
            <w:hideMark/>
          </w:tcPr>
          <w:p w14:paraId="40552EA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course is to provide students with the fundamental theoretical - interpretative keys and the basic tools for analyzing organizational dynamics, human resources management and organizational behavior in maritime transport companies.</w:t>
            </w:r>
          </w:p>
        </w:tc>
        <w:tc>
          <w:tcPr>
            <w:tcW w:w="709" w:type="dxa"/>
            <w:noWrap/>
            <w:hideMark/>
          </w:tcPr>
          <w:p w14:paraId="1EEBDC3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596B12A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3EA17E52" w14:textId="77777777" w:rsidTr="00C43903">
        <w:trPr>
          <w:trHeight w:val="3695"/>
        </w:trPr>
        <w:tc>
          <w:tcPr>
            <w:tcW w:w="529" w:type="dxa"/>
            <w:noWrap/>
            <w:hideMark/>
          </w:tcPr>
          <w:p w14:paraId="1EBE18B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7DC6E22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90544</w:t>
            </w:r>
          </w:p>
        </w:tc>
        <w:tc>
          <w:tcPr>
            <w:tcW w:w="1040" w:type="dxa"/>
            <w:hideMark/>
          </w:tcPr>
          <w:p w14:paraId="51DE921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GEOGRAPHY, COMMODITIES TRADING, GEOPOLITICS</w:t>
            </w:r>
          </w:p>
        </w:tc>
        <w:tc>
          <w:tcPr>
            <w:tcW w:w="1276" w:type="dxa"/>
            <w:hideMark/>
          </w:tcPr>
          <w:p w14:paraId="62973E8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GEOGRAPHY, COMMODITIES TRADING, GEOPOLITICS</w:t>
            </w:r>
          </w:p>
        </w:tc>
        <w:tc>
          <w:tcPr>
            <w:tcW w:w="567" w:type="dxa"/>
            <w:noWrap/>
            <w:hideMark/>
          </w:tcPr>
          <w:p w14:paraId="5F4636B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23AD6EA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4F7BFA8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6245F2E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3084E2D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74FFE25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79A39C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L’obiettivo è quello di colmare eventuali lacune di geografia economica, insegnamento spesso trascurato nei corsi di studio precedenti. Si toccherà quindi in particolare la geografia per la parte inerente alla navigazione marittima e gli scambi internazionali. Si esamineranno gli aspetti geopolitici, paesi affacciati sul mare e paesi senza accesso al mare, complicazioni geopolitiche, le dispute territoriali, privilegi, conflitti, strozzature dei traffici, il flusso delle principali merci alla rinfusa, in particolare quelle dell’ambito oil&amp;gas, i commerci, origini e destinazioni; la geopolitica dell'energia, la deglobalizzazione.</w:t>
            </w:r>
            <w:r w:rsidRPr="00320763">
              <w:rPr>
                <w:rFonts w:ascii="Calibri" w:hAnsi="Calibri"/>
                <w:bCs/>
                <w:sz w:val="18"/>
                <w:szCs w:val="18"/>
              </w:rPr>
              <w:br/>
            </w:r>
            <w:r w:rsidRPr="00320763">
              <w:rPr>
                <w:rFonts w:ascii="Calibri" w:hAnsi="Calibri"/>
                <w:bCs/>
                <w:sz w:val="18"/>
                <w:szCs w:val="18"/>
              </w:rPr>
              <w:br/>
              <w:t xml:space="preserve"> </w:t>
            </w:r>
          </w:p>
        </w:tc>
        <w:tc>
          <w:tcPr>
            <w:tcW w:w="2977" w:type="dxa"/>
            <w:hideMark/>
          </w:tcPr>
          <w:p w14:paraId="12A881C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goal is to fill any gaps in economic geography, a teaching often neglected in previous study courses. We will therefore touch in particular on geography for the part relating to maritime navigation and international exchanges. We will examine the geopolitical aspects, countries having access to the sea and landlocked countries, geopolitical tensions, territorial disputes, privileges, conflicts, trade chokepoints, the flow of main bulk goods, in particular those in the oil &amp; gas sector, trade, origins and destinations; the geopolitics of energy, deglobalization.</w:t>
            </w:r>
          </w:p>
        </w:tc>
        <w:tc>
          <w:tcPr>
            <w:tcW w:w="709" w:type="dxa"/>
            <w:noWrap/>
            <w:hideMark/>
          </w:tcPr>
          <w:p w14:paraId="6586B4D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7BD53D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634A39F9" w14:textId="77777777" w:rsidTr="00C43903">
        <w:trPr>
          <w:trHeight w:val="2772"/>
        </w:trPr>
        <w:tc>
          <w:tcPr>
            <w:tcW w:w="529" w:type="dxa"/>
            <w:noWrap/>
            <w:hideMark/>
          </w:tcPr>
          <w:p w14:paraId="5477EAD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1778951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95136</w:t>
            </w:r>
          </w:p>
        </w:tc>
        <w:tc>
          <w:tcPr>
            <w:tcW w:w="1040" w:type="dxa"/>
            <w:hideMark/>
          </w:tcPr>
          <w:p w14:paraId="07FC778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OTTIMIZZAZIONE DELLE OPERATIVITÀ MARITTIMO PORTUALI</w:t>
            </w:r>
          </w:p>
        </w:tc>
        <w:tc>
          <w:tcPr>
            <w:tcW w:w="1276" w:type="dxa"/>
            <w:hideMark/>
          </w:tcPr>
          <w:p w14:paraId="7B8296F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OPTIMIZATION OF MARITIME TERMINAL OPERATIONS</w:t>
            </w:r>
          </w:p>
        </w:tc>
        <w:tc>
          <w:tcPr>
            <w:tcW w:w="567" w:type="dxa"/>
            <w:noWrap/>
            <w:hideMark/>
          </w:tcPr>
          <w:p w14:paraId="5BE7480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52C3A9A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MAT/09</w:t>
            </w:r>
          </w:p>
        </w:tc>
        <w:tc>
          <w:tcPr>
            <w:tcW w:w="850" w:type="dxa"/>
            <w:hideMark/>
          </w:tcPr>
          <w:p w14:paraId="374F8B5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01A03F4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Statistico-Matematico</w:t>
            </w:r>
          </w:p>
        </w:tc>
        <w:tc>
          <w:tcPr>
            <w:tcW w:w="850" w:type="dxa"/>
            <w:noWrap/>
            <w:hideMark/>
          </w:tcPr>
          <w:p w14:paraId="7BA837A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7F6B9F4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EC9CF7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intende fornire gli strumenti e i metodi di ottimizzazione che sono sempre più necessari per far fronte ai complessi problemi che originano nella gestione delle operazioni dei terminal marittimi, oltre alla comprensione dei vantaggi dell’integrazione dell’ottimizzazione con tecniche di data science. Il consolidamento delle metodologie proposte è supportato dallo sviluppo di modelli relativi a casi di studio realizzati con ambienti software di ottimizzazione e con foglio elettronico.</w:t>
            </w:r>
          </w:p>
        </w:tc>
        <w:tc>
          <w:tcPr>
            <w:tcW w:w="2977" w:type="dxa"/>
            <w:hideMark/>
          </w:tcPr>
          <w:p w14:paraId="7F29DBE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to teach optimization methods essential for addressing the complexities inherent in managing operations at maritime terminals, alongside understanding the benefits of integrating optimization and data science. The consolidation of optimization methodologies will be supported by the development of case studies, with models implemented and solved using optimization software and Excel spreadsheets.</w:t>
            </w:r>
          </w:p>
        </w:tc>
        <w:tc>
          <w:tcPr>
            <w:tcW w:w="709" w:type="dxa"/>
            <w:noWrap/>
            <w:hideMark/>
          </w:tcPr>
          <w:p w14:paraId="03E52F0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0A4A667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44810F15" w14:textId="77777777" w:rsidTr="00C43903">
        <w:trPr>
          <w:trHeight w:val="7852"/>
        </w:trPr>
        <w:tc>
          <w:tcPr>
            <w:tcW w:w="529" w:type="dxa"/>
            <w:noWrap/>
            <w:hideMark/>
          </w:tcPr>
          <w:p w14:paraId="319EF5A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3A41D1B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102009</w:t>
            </w:r>
          </w:p>
        </w:tc>
        <w:tc>
          <w:tcPr>
            <w:tcW w:w="1040" w:type="dxa"/>
            <w:hideMark/>
          </w:tcPr>
          <w:p w14:paraId="0A183EF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MANAGEMENT OF COASTAL TOURISM</w:t>
            </w:r>
          </w:p>
        </w:tc>
        <w:tc>
          <w:tcPr>
            <w:tcW w:w="1276" w:type="dxa"/>
            <w:hideMark/>
          </w:tcPr>
          <w:p w14:paraId="5F34548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MANAGEMENT OF COASTAL TOURISM</w:t>
            </w:r>
          </w:p>
        </w:tc>
        <w:tc>
          <w:tcPr>
            <w:tcW w:w="567" w:type="dxa"/>
            <w:noWrap/>
            <w:hideMark/>
          </w:tcPr>
          <w:p w14:paraId="759AE3B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521E607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SECS-P/08</w:t>
            </w:r>
          </w:p>
        </w:tc>
        <w:tc>
          <w:tcPr>
            <w:tcW w:w="850" w:type="dxa"/>
            <w:hideMark/>
          </w:tcPr>
          <w:p w14:paraId="726844B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25203DB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Aziendale</w:t>
            </w:r>
          </w:p>
        </w:tc>
        <w:tc>
          <w:tcPr>
            <w:tcW w:w="850" w:type="dxa"/>
            <w:noWrap/>
            <w:hideMark/>
          </w:tcPr>
          <w:p w14:paraId="60ECD31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786C423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6C34749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l’obiettivo di esaminare i principali profili gestionali e strategici connessi al management del turismo costiero che, tipicamente include crociere, traghetti, porti turistici e altre attività turistiche (attività di ricezione e servizi vari) che si sviluppano lungo la costa. A questo scopo viene dapprima definito il concetto di turismo costiero delimitando i confini dell’oggetto di studio. Successivamente vengono esaminate le diverse tipologie di turismo rilevante nell’ambito di location di tipo costiero e marittimo e vengono approfonditi i costrutti teorici di management rilevanti nell’ambito della gestione delle imprese e delle aziende che operano all’interno di questi contesti competitivi. L’insegnamento approfondisce poi i principali temi legati alla sostenibilità, alla green economy, alla blue economy e alla gestione degli stakeholder rilevanti, ponendo particolare enfasi anche su temi quali l’energy management e gli impatti ambientali delle imprese che operano nel settore. Vengono poi considerati i diversi strumenti di supporto al turismo costiero esistenti a livello nazionale ed europeo nonché gli attori e gli stakeholder rilevanti. L’insegnamento pone particolare enfasi sull’analisi dei diversi strumenti manageriali utili a supportare le strategie di crescita e di sviluppo sostenibile delle imprese che operano nell’ambito del turismo costiero e marino.</w:t>
            </w:r>
          </w:p>
        </w:tc>
        <w:tc>
          <w:tcPr>
            <w:tcW w:w="2977" w:type="dxa"/>
            <w:hideMark/>
          </w:tcPr>
          <w:p w14:paraId="336AC65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teaching aims at deepening the main managerial and strategic profiles related to the management of the coastal tourism, typically including cruises, ferries, marinas and other tourist activities (accommodation and other services) that develop along the coast. For this purpose, the concept of coastal tourism is first defined by delimiting the boundaries of the field of study. Subsequently, the different types of tourism are examined, with particular attention to those relevant in the coastal and marine area. The theoretical managerial constructs are also deepened, taking into account the most relevant in the management of enterprises and companies that operate in the analyzed competitive context. The teaching then deepens the main issues related to blue economy, green economy, sustainability and the management of relevant stakeholders, with particular emphasis on such topics as energy management and the environmental impacts generated by companies operating in the sector. The various supporting tools available to coastal tourism companies existing at both national and European level, as well as the relevant actors and stakeholders which populate the industry, are also considered. The course places particular emphasis on the analysis of the different managerial tools to support growth strategies and the sustainable development of companies operating in the coastal and marine tourism.</w:t>
            </w:r>
          </w:p>
        </w:tc>
        <w:tc>
          <w:tcPr>
            <w:tcW w:w="709" w:type="dxa"/>
            <w:noWrap/>
            <w:hideMark/>
          </w:tcPr>
          <w:p w14:paraId="2248A61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5818A50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191B4A7C" w14:textId="77777777" w:rsidTr="00C43903">
        <w:trPr>
          <w:trHeight w:val="6467"/>
        </w:trPr>
        <w:tc>
          <w:tcPr>
            <w:tcW w:w="529" w:type="dxa"/>
            <w:noWrap/>
            <w:hideMark/>
          </w:tcPr>
          <w:p w14:paraId="262C824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148EBBF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102010</w:t>
            </w:r>
          </w:p>
        </w:tc>
        <w:tc>
          <w:tcPr>
            <w:tcW w:w="1040" w:type="dxa"/>
            <w:hideMark/>
          </w:tcPr>
          <w:p w14:paraId="42CE4C0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CONTRACTS AND MARINE INSURANCE LAW</w:t>
            </w:r>
          </w:p>
        </w:tc>
        <w:tc>
          <w:tcPr>
            <w:tcW w:w="1276" w:type="dxa"/>
            <w:hideMark/>
          </w:tcPr>
          <w:p w14:paraId="7F4752B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CONTRACTS AND MARINE INSURANCE LAW</w:t>
            </w:r>
          </w:p>
        </w:tc>
        <w:tc>
          <w:tcPr>
            <w:tcW w:w="567" w:type="dxa"/>
            <w:noWrap/>
            <w:hideMark/>
          </w:tcPr>
          <w:p w14:paraId="6E3D8D8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4A6B338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IUS/06</w:t>
            </w:r>
          </w:p>
        </w:tc>
        <w:tc>
          <w:tcPr>
            <w:tcW w:w="850" w:type="dxa"/>
            <w:hideMark/>
          </w:tcPr>
          <w:p w14:paraId="0DA3D66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6163D3A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Giuridico</w:t>
            </w:r>
          </w:p>
        </w:tc>
        <w:tc>
          <w:tcPr>
            <w:tcW w:w="850" w:type="dxa"/>
            <w:noWrap/>
            <w:hideMark/>
          </w:tcPr>
          <w:p w14:paraId="4DBC738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51A9008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B85DF8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si propone di introdurre lo studente alla conoscenza dei principali formulari di contratti marittimi internazionali standard adottati nella prassi. Tali formulari riguardano tra l’altro la costruzione, la riparazione e la compravendita di nave, il ship management, il contratto di locazione di nave, i time e voyage charters, il contratto di noleggio di nave, il contratto di prestazione di servizi, il contratto di crociera turistica, i contratti della nautica da diporto, il contratto di rimorchio e il contratto di soccorso. Inoltre, L’insegnamento è finalizzato a introdurre lo studente alla conoscenza delle principali coperture assicurative marittime: corpo e macchine, merci e passeggeri, responsabilità dell’armatore, P.&amp;I. Clubs, vettore marittimo e multimodale, come stabilite dal diritto nazionale ed europeo nonché dalla prassi internazionale. I contratti marittimi standards e i contratti di assicurazione marittima saranno esaminati sulla base di un approccio critico che sarà rivolto a considerare le principali questioni giuridiche. Tale analisi sarà condotta anche mediante il contributo di operatori, assicuratori e professionisti, promuovendo l’interazione tra gli studenti e il mondo del lavoro. </w:t>
            </w:r>
          </w:p>
        </w:tc>
        <w:tc>
          <w:tcPr>
            <w:tcW w:w="2977" w:type="dxa"/>
            <w:hideMark/>
          </w:tcPr>
          <w:p w14:paraId="39DD4F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aim of the first part of the course is to introduce student to the knowledge and the study of the main maritime standard contracts as regulated by the main international forms adopted in practice. These forms are related among others to shipbuilding, ship repairs and ship sales, ship management, bareboat charters, charterparties, cruise and yachting, towage, and salvage contracts. The second part of the course aims also to introduce students to the analysis of the transport documentation used in carriage of goods by sea considering forms of bill lading and sea waybill. The third and last part of the course is devoted to examining the main marine insurance coverages concerning hull and machineries as well as goods, freight, and liability. The analysis of maritime standard contracts, transport documents used in carriage of goods by sea and marine insurance coverage will be undertaken by a critical methodology approach where the main legal issues will be considered. This analysis will be also carried out by the contribution of operators, insurers, and professionals, promoting interaction between students and world of work.</w:t>
            </w:r>
          </w:p>
        </w:tc>
        <w:tc>
          <w:tcPr>
            <w:tcW w:w="709" w:type="dxa"/>
            <w:noWrap/>
            <w:hideMark/>
          </w:tcPr>
          <w:p w14:paraId="7A4D4A2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022323A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62B0E708" w14:textId="77777777" w:rsidTr="00C43903">
        <w:trPr>
          <w:trHeight w:val="6467"/>
        </w:trPr>
        <w:tc>
          <w:tcPr>
            <w:tcW w:w="529" w:type="dxa"/>
            <w:noWrap/>
            <w:hideMark/>
          </w:tcPr>
          <w:p w14:paraId="47052CD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2C965B5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102011</w:t>
            </w:r>
          </w:p>
        </w:tc>
        <w:tc>
          <w:tcPr>
            <w:tcW w:w="1040" w:type="dxa"/>
            <w:hideMark/>
          </w:tcPr>
          <w:p w14:paraId="1F3B28F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INNOVATION MANAGEMENT AND TECHNOLOGIES IN MARITIME LOGISTICS</w:t>
            </w:r>
          </w:p>
        </w:tc>
        <w:tc>
          <w:tcPr>
            <w:tcW w:w="1276" w:type="dxa"/>
            <w:hideMark/>
          </w:tcPr>
          <w:p w14:paraId="3BA072F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INNOVATION MANAGEMENT AND TECHNOLOGIES IN MARITIME LOGISTICS</w:t>
            </w:r>
          </w:p>
        </w:tc>
        <w:tc>
          <w:tcPr>
            <w:tcW w:w="567" w:type="dxa"/>
            <w:noWrap/>
            <w:hideMark/>
          </w:tcPr>
          <w:p w14:paraId="156632C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0CB71B7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SECS-P/08</w:t>
            </w:r>
          </w:p>
        </w:tc>
        <w:tc>
          <w:tcPr>
            <w:tcW w:w="850" w:type="dxa"/>
            <w:hideMark/>
          </w:tcPr>
          <w:p w14:paraId="67A4906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AFFINI O INTEGRATIVE</w:t>
            </w:r>
          </w:p>
        </w:tc>
        <w:tc>
          <w:tcPr>
            <w:tcW w:w="993" w:type="dxa"/>
            <w:hideMark/>
          </w:tcPr>
          <w:p w14:paraId="2F44646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Attività Formative Affini o Integrative</w:t>
            </w:r>
          </w:p>
        </w:tc>
        <w:tc>
          <w:tcPr>
            <w:tcW w:w="850" w:type="dxa"/>
            <w:noWrap/>
            <w:hideMark/>
          </w:tcPr>
          <w:p w14:paraId="6DCDC5D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0A2AFEC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2E7CEAF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affronta alcune delle principali tematiche gestionali e strategiche riconducibili al management dell’innovazione e alla diffusione delle nuove tecnologie nel settore della logistica marittima. Il corso esamina i principali costrutti teorici associati allo sviluppo e all'adozione di innovazioni nelle imprese operanti nella logistica marittima e portuale, enfatizzando la dimensione sistemica dei processi innovativi, che coinvolgono ampie categorie di stakeholders.  Il corso esamina inoltre alcune delle più comuni forme di finanziamento dei processi innovativi nell’ambito delle imprese marittimo-logistiche. Una particolare attenzione è rivolta all’innovazione nel campo della digitalizzazione e alla diffusione delle cosiddette “emerging technologies” nei porti e nel trasporto intermodale, all’introduzione dell’automazione nei terminal, all’energy management, e a quegli “upgrade” tecnologici volti al miglioramento dell’efficienza dei processi operativi e delle performance economico-finanziarie aziendali, preservando al contempo l’ambiente e la sostenibilità del settore (e.g., navi a propulsione LNG, produzione di energia da fonti rinnovabili, etc.).</w:t>
            </w:r>
          </w:p>
        </w:tc>
        <w:tc>
          <w:tcPr>
            <w:tcW w:w="2977" w:type="dxa"/>
            <w:hideMark/>
          </w:tcPr>
          <w:p w14:paraId="094DE07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addresses the main topics related to innovation management and the diffusion of technologies across the maritime logistics field. The course focuses on the main theoretical concepts associated to the development and adoption of innovations in maritime logistics firms, emphasizing its systemic dimension across stakeholders’ constellations.  The course provides also insights on the most common funding schemes for financing innovations processes in the addressed industries. Special attention is awarded to the innovation in the field of digitalization and diffusion of emerging technologies in ports and intermodal transportation, to the introduction of terminal automation, to energy management, and to those technological improvements enhancing operational efficiency and firm financial performance, also preserving the environment and the sustainability of the industry (e.g., LNG-fuelled vessels, production of energy from renewable sources, etc.).</w:t>
            </w:r>
          </w:p>
        </w:tc>
        <w:tc>
          <w:tcPr>
            <w:tcW w:w="709" w:type="dxa"/>
            <w:noWrap/>
            <w:hideMark/>
          </w:tcPr>
          <w:p w14:paraId="0BA80E1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493072C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10FBB488" w14:textId="77777777" w:rsidTr="00C43903">
        <w:trPr>
          <w:trHeight w:val="846"/>
        </w:trPr>
        <w:tc>
          <w:tcPr>
            <w:tcW w:w="529" w:type="dxa"/>
            <w:noWrap/>
            <w:hideMark/>
          </w:tcPr>
          <w:p w14:paraId="379BFF7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76A43EB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102031</w:t>
            </w:r>
          </w:p>
        </w:tc>
        <w:tc>
          <w:tcPr>
            <w:tcW w:w="1040" w:type="dxa"/>
            <w:hideMark/>
          </w:tcPr>
          <w:p w14:paraId="1607AF9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GESTIONE DEL BULK SHIPPING BUSINESS</w:t>
            </w:r>
          </w:p>
        </w:tc>
        <w:tc>
          <w:tcPr>
            <w:tcW w:w="1276" w:type="dxa"/>
            <w:hideMark/>
          </w:tcPr>
          <w:p w14:paraId="3FE78F3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BULK SHIPPING BUSINESS MANAGEMENT</w:t>
            </w:r>
          </w:p>
        </w:tc>
        <w:tc>
          <w:tcPr>
            <w:tcW w:w="567" w:type="dxa"/>
            <w:noWrap/>
            <w:hideMark/>
          </w:tcPr>
          <w:p w14:paraId="316E11A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66A7803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SECS-P/08</w:t>
            </w:r>
          </w:p>
        </w:tc>
        <w:tc>
          <w:tcPr>
            <w:tcW w:w="850" w:type="dxa"/>
            <w:hideMark/>
          </w:tcPr>
          <w:p w14:paraId="42EDB9C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34FE042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Aziendale</w:t>
            </w:r>
          </w:p>
        </w:tc>
        <w:tc>
          <w:tcPr>
            <w:tcW w:w="850" w:type="dxa"/>
            <w:noWrap/>
            <w:hideMark/>
          </w:tcPr>
          <w:p w14:paraId="0FF230B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5943F9E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1FD704D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si propone di analizzare, nell'ottica tecnico-aziendale, il settore del trasporto marittimo di merci alla rinfusa (bulk shipping), nelle due principali componenti del dry bulk e del tanker, al fine di fornire un quadro completo dei contesti ambientali, istituzionali, di mercato e di business all'interno dei </w:t>
            </w:r>
            <w:r w:rsidRPr="00320763">
              <w:rPr>
                <w:rFonts w:ascii="Calibri" w:hAnsi="Calibri"/>
                <w:bCs/>
                <w:sz w:val="18"/>
                <w:szCs w:val="18"/>
              </w:rPr>
              <w:lastRenderedPageBreak/>
              <w:t xml:space="preserve">quali muovono i processi decisionali dei principali operatori del settore (armatori e caricatori). </w:t>
            </w:r>
          </w:p>
        </w:tc>
        <w:tc>
          <w:tcPr>
            <w:tcW w:w="2977" w:type="dxa"/>
            <w:hideMark/>
          </w:tcPr>
          <w:p w14:paraId="16E056A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The course analyses the bulk shipping market under the points of view of demand, supply, business management, and economic-financial management.</w:t>
            </w:r>
          </w:p>
        </w:tc>
        <w:tc>
          <w:tcPr>
            <w:tcW w:w="709" w:type="dxa"/>
            <w:noWrap/>
            <w:hideMark/>
          </w:tcPr>
          <w:p w14:paraId="3768721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3CEDFC7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6E3F4AF9" w14:textId="77777777" w:rsidTr="00C43903">
        <w:trPr>
          <w:trHeight w:val="6236"/>
        </w:trPr>
        <w:tc>
          <w:tcPr>
            <w:tcW w:w="529" w:type="dxa"/>
            <w:noWrap/>
            <w:hideMark/>
          </w:tcPr>
          <w:p w14:paraId="2349819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55FCB8C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102032</w:t>
            </w:r>
          </w:p>
        </w:tc>
        <w:tc>
          <w:tcPr>
            <w:tcW w:w="1040" w:type="dxa"/>
            <w:hideMark/>
          </w:tcPr>
          <w:p w14:paraId="5B494BA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DIRITTO DEL TRASPORTO MARITTIMO DI PERSONE, DELLE CROCIERE E DEL TURISMO</w:t>
            </w:r>
          </w:p>
        </w:tc>
        <w:tc>
          <w:tcPr>
            <w:tcW w:w="1276" w:type="dxa"/>
            <w:hideMark/>
          </w:tcPr>
          <w:p w14:paraId="25E77F8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PASSENGER TRANSPORTATION LAW, CRUISE AND TOURISM</w:t>
            </w:r>
          </w:p>
        </w:tc>
        <w:tc>
          <w:tcPr>
            <w:tcW w:w="567" w:type="dxa"/>
            <w:noWrap/>
            <w:hideMark/>
          </w:tcPr>
          <w:p w14:paraId="3D14840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9</w:t>
            </w:r>
          </w:p>
        </w:tc>
        <w:tc>
          <w:tcPr>
            <w:tcW w:w="567" w:type="dxa"/>
            <w:hideMark/>
          </w:tcPr>
          <w:p w14:paraId="5719276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IUS/06</w:t>
            </w:r>
          </w:p>
        </w:tc>
        <w:tc>
          <w:tcPr>
            <w:tcW w:w="850" w:type="dxa"/>
            <w:hideMark/>
          </w:tcPr>
          <w:p w14:paraId="7B08883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CARATTERIZZANTI</w:t>
            </w:r>
          </w:p>
        </w:tc>
        <w:tc>
          <w:tcPr>
            <w:tcW w:w="993" w:type="dxa"/>
            <w:hideMark/>
          </w:tcPr>
          <w:p w14:paraId="115F310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Giuridico</w:t>
            </w:r>
          </w:p>
        </w:tc>
        <w:tc>
          <w:tcPr>
            <w:tcW w:w="850" w:type="dxa"/>
            <w:noWrap/>
            <w:hideMark/>
          </w:tcPr>
          <w:p w14:paraId="0BE89B1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7593322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2AF8BA3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si propone di introdurre lo studente alla conoscenza e allo studio della disciplina nazionale, europea e internazionale del contratto di trasporto marittimo di persone, approfondendo il regime degli impedimenti all’esecuzione del contratto e il regime della responsabilità del vettore anche mediante un’analisi comparativa con le altre modalità di trasporto. Inoltre si analizzeranno i contratti del turismo organizzato, soffermandosi sul contratto di crociera turistica e sui contratti di pacchetto turistico. Particolare attenzione sarà rivolta alle tematiche giuridiche rilevanti anche sotto il profilo socioeconomico. L’insegnamento si propone altresì di introdurre lo studente alla conoscenza e allo studio dei contratti di ospitalità e dei più rilevanti profili privatistici e pubblicisti della nautica da diporto. Lo studio degli argomenti del corso sarà svolto attraverso l’esame dei principali orientamenti dottrinali e giurisprudenziali nonché della prassi marittima sulla base di approccio metodologico critico. Lo studente che avrà superato l’esame sarà in grado di orientarsi tra gli argomenti svolti durante L’insegnamento e di affrontare autonomamente questioni giuridiche ad essi connesse, individuando le soluzioni più valide. </w:t>
            </w:r>
          </w:p>
        </w:tc>
        <w:tc>
          <w:tcPr>
            <w:tcW w:w="2977" w:type="dxa"/>
            <w:hideMark/>
          </w:tcPr>
          <w:p w14:paraId="230DCAE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at examining the national, European, and international regulation on the contract of carriage of passengers by sea, focusing on the obstacles to contract performance and the carrier liability regime. A comparative analysis of other modes of transport will be carried out. Additionally, travel and tourism contracts will be studied, considering cruise and travel package contracts. Furthermore, the main public and private aspects related to yachting will be examined. Legal issues having an important impact from an economic and social point of view will be also dealt with. All the studies will be undertaken in a critical structural approach methodology by treating doctrine, jurisprudence, and maritime practice. Successful students will be able to orientate themselves through the subject-matters considered during the course and therefore be able to tackle the relevant legal issues by taking into consideration the most valid solutions.</w:t>
            </w:r>
          </w:p>
        </w:tc>
        <w:tc>
          <w:tcPr>
            <w:tcW w:w="709" w:type="dxa"/>
            <w:noWrap/>
            <w:hideMark/>
          </w:tcPr>
          <w:p w14:paraId="632D7C0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72</w:t>
            </w:r>
          </w:p>
        </w:tc>
        <w:tc>
          <w:tcPr>
            <w:tcW w:w="589" w:type="dxa"/>
            <w:noWrap/>
            <w:hideMark/>
          </w:tcPr>
          <w:p w14:paraId="62FBBAE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153</w:t>
            </w:r>
          </w:p>
        </w:tc>
      </w:tr>
      <w:tr w:rsidR="00E13452" w:rsidRPr="00320763" w14:paraId="38398695" w14:textId="77777777" w:rsidTr="00C43903">
        <w:trPr>
          <w:trHeight w:val="5312"/>
        </w:trPr>
        <w:tc>
          <w:tcPr>
            <w:tcW w:w="529" w:type="dxa"/>
            <w:noWrap/>
            <w:hideMark/>
          </w:tcPr>
          <w:p w14:paraId="0D2C1EB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70A3B18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102487</w:t>
            </w:r>
          </w:p>
        </w:tc>
        <w:tc>
          <w:tcPr>
            <w:tcW w:w="1040" w:type="dxa"/>
            <w:hideMark/>
          </w:tcPr>
          <w:p w14:paraId="52DEF185"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ECONOMICS OF CRUISE, FERRY AND YACHTING INDUSTRIES</w:t>
            </w:r>
          </w:p>
        </w:tc>
        <w:tc>
          <w:tcPr>
            <w:tcW w:w="1276" w:type="dxa"/>
            <w:hideMark/>
          </w:tcPr>
          <w:p w14:paraId="4DE454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ECONOMICS OF CRUISE, FERRY AND YACHTING INDUSTRIES</w:t>
            </w:r>
          </w:p>
        </w:tc>
        <w:tc>
          <w:tcPr>
            <w:tcW w:w="567" w:type="dxa"/>
            <w:noWrap/>
            <w:hideMark/>
          </w:tcPr>
          <w:p w14:paraId="4B9831B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6</w:t>
            </w:r>
          </w:p>
        </w:tc>
        <w:tc>
          <w:tcPr>
            <w:tcW w:w="567" w:type="dxa"/>
            <w:hideMark/>
          </w:tcPr>
          <w:p w14:paraId="28B849B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SECS-P/06</w:t>
            </w:r>
          </w:p>
        </w:tc>
        <w:tc>
          <w:tcPr>
            <w:tcW w:w="850" w:type="dxa"/>
            <w:hideMark/>
          </w:tcPr>
          <w:p w14:paraId="40F0E492"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AFFINI O INTEGRATIVE</w:t>
            </w:r>
          </w:p>
        </w:tc>
        <w:tc>
          <w:tcPr>
            <w:tcW w:w="993" w:type="dxa"/>
            <w:hideMark/>
          </w:tcPr>
          <w:p w14:paraId="747D8EE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Attività Formative Affini o Integrative</w:t>
            </w:r>
          </w:p>
        </w:tc>
        <w:tc>
          <w:tcPr>
            <w:tcW w:w="850" w:type="dxa"/>
            <w:noWrap/>
            <w:hideMark/>
          </w:tcPr>
          <w:p w14:paraId="0FDF1F6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7DC4D8A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03B98DBD" w14:textId="1F73EC85"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L'insegnamento approfondisce i principali aspetti della navigazione di passeggeri, nei tre settori in cui è oggi significativa: le crociere, i traghetti e la nautica da diporto. Per ciascun settore si analizzano i fondamenti delle funzioni di domanda e di offerta, la struttura del mercato e il livello di concorrenza. </w:t>
            </w:r>
            <w:r w:rsidR="00182016" w:rsidRPr="00320763">
              <w:rPr>
                <w:rFonts w:ascii="Calibri" w:hAnsi="Calibri"/>
                <w:bCs/>
                <w:sz w:val="18"/>
                <w:szCs w:val="18"/>
              </w:rPr>
              <w:t>Inoltre,</w:t>
            </w:r>
            <w:r w:rsidRPr="00320763">
              <w:rPr>
                <w:rFonts w:ascii="Calibri" w:hAnsi="Calibri"/>
                <w:bCs/>
                <w:sz w:val="18"/>
                <w:szCs w:val="18"/>
              </w:rPr>
              <w:t xml:space="preserve"> si considerano alcuni aspetti macroeconomici come il contributo al PIL e alle esportazioni, l’occupazione, gli effetti indotti, e le linee di politica economica (in particolare: tassazione, incentivi). </w:t>
            </w:r>
            <w:r w:rsidRPr="00320763">
              <w:rPr>
                <w:rFonts w:ascii="Calibri" w:hAnsi="Calibri"/>
                <w:bCs/>
                <w:sz w:val="18"/>
                <w:szCs w:val="18"/>
              </w:rPr>
              <w:br/>
              <w:t>Il corso mira così a fornire un’informazione approfondita e un’analisi economica dei settori rilevanti dello shipping in campo passeggeri, riferibili in parte al turismo, tempo libero e sport (crociere, nautica), in parte ai trasporti (traghetti). Mira anche a fornire il background per i temi relativi a gestione, business intelligence, ricerca e previsioni, linee guida per la normativa e policies di settore.</w:t>
            </w:r>
          </w:p>
        </w:tc>
        <w:tc>
          <w:tcPr>
            <w:tcW w:w="2977" w:type="dxa"/>
            <w:hideMark/>
          </w:tcPr>
          <w:p w14:paraId="007F4F5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focuses on the main current issues in passenger shipping, namely in the three sectors in which it is presently significant: cruises, ferries, and yachting/boating. For each sector the fundamentals of demand and supply functions, along with market structure and competition are analysed. Furthermore, some macroeconomic issues such as contribution to GDP and to exports, employment, induced effects, and policy guidelines such as tax policies and incentives.</w:t>
            </w:r>
            <w:r w:rsidRPr="00320763">
              <w:rPr>
                <w:rFonts w:ascii="Calibri" w:hAnsi="Calibri"/>
                <w:bCs/>
                <w:sz w:val="18"/>
                <w:szCs w:val="18"/>
              </w:rPr>
              <w:br/>
              <w:t>The course is intended to provide in-depth information and analysis on the economics of the three relevant sectors of passenger shipping, related to tourism, leisure and sports (cruise, yachting/boating), and to transport (ferries). It also aims at providing the background to: business intelligence and management; research and forecasts; guidelines for policies and laws.</w:t>
            </w:r>
          </w:p>
        </w:tc>
        <w:tc>
          <w:tcPr>
            <w:tcW w:w="709" w:type="dxa"/>
            <w:noWrap/>
            <w:hideMark/>
          </w:tcPr>
          <w:p w14:paraId="2F12D77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48</w:t>
            </w:r>
          </w:p>
        </w:tc>
        <w:tc>
          <w:tcPr>
            <w:tcW w:w="589" w:type="dxa"/>
            <w:noWrap/>
            <w:hideMark/>
          </w:tcPr>
          <w:p w14:paraId="00E04EB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w:t>
            </w:r>
          </w:p>
        </w:tc>
      </w:tr>
      <w:tr w:rsidR="00E13452" w:rsidRPr="00320763" w14:paraId="5FF69B09" w14:textId="77777777" w:rsidTr="00C43903">
        <w:trPr>
          <w:trHeight w:val="4850"/>
        </w:trPr>
        <w:tc>
          <w:tcPr>
            <w:tcW w:w="529" w:type="dxa"/>
            <w:noWrap/>
            <w:hideMark/>
          </w:tcPr>
          <w:p w14:paraId="11ECE32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47D219E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106971</w:t>
            </w:r>
          </w:p>
        </w:tc>
        <w:tc>
          <w:tcPr>
            <w:tcW w:w="1040" w:type="dxa"/>
            <w:hideMark/>
          </w:tcPr>
          <w:p w14:paraId="6239174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LABORATORIO DI ANALISI DEI DATI DOGANALI</w:t>
            </w:r>
          </w:p>
        </w:tc>
        <w:tc>
          <w:tcPr>
            <w:tcW w:w="1276" w:type="dxa"/>
            <w:hideMark/>
          </w:tcPr>
          <w:p w14:paraId="433FB10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CUSTOMS DATA ANALYTICS LAB</w:t>
            </w:r>
          </w:p>
        </w:tc>
        <w:tc>
          <w:tcPr>
            <w:tcW w:w="567" w:type="dxa"/>
            <w:noWrap/>
            <w:hideMark/>
          </w:tcPr>
          <w:p w14:paraId="7D771B0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5D54D24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SECS-P/06</w:t>
            </w:r>
          </w:p>
        </w:tc>
        <w:tc>
          <w:tcPr>
            <w:tcW w:w="850" w:type="dxa"/>
            <w:hideMark/>
          </w:tcPr>
          <w:p w14:paraId="1A14D06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2B8CDA7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55A6AEA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7687DE5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56991F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quello di fornire allo studente le competenze tecniche necessarie a supportare l’attività di ricerca in campo economico con riferimento alla gestione, elaborazione ed al reporting di analisi su fonti statistiche amministrative di grande dimensione. Particolare rilievo viene dato alla lettura economica dei risultati. Il contesto applicativo riguarda l’analisi dei dati dei flussi merceologici import/export di origine doganale con particolare riferimento alla modalità di trasporto marittima. Tali analisi hanno come obiettivo lo studio di una delle componenti più rilevanti della bilancia commerciale italiana, la definizione dei flussi commerciali marittimi a livello di singola Autorità di Sistema Portuale, l’identificazione delle filiere merceologiche che insistono su un territorio e lo studio dell’hinterland marittimo di un porto. L’intero corso sarà svolto in aula informatica utilizzando MS Excel per il trattamento e l’analisi dei dati.</w:t>
            </w:r>
          </w:p>
        </w:tc>
        <w:tc>
          <w:tcPr>
            <w:tcW w:w="2977" w:type="dxa"/>
            <w:hideMark/>
          </w:tcPr>
          <w:p w14:paraId="4E125D6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at providing students with the technical skills required to support research in economics with regard to the management, processing and reporting of analyses on large size administrative statistical sources. Particular emphasis will be given to the economic interpretation of results. The application context will concern the analysis of data on import/export flows of goods handled by Italian Customs Offices with particular reference to the maritime mode of transport. The aim of these analyses is to study one of the most relevant component of the Italian balance of trade, the definition of maritime trade flows of each Port Authority, the identification of commodity chains that insist on a geographical area and the study of the maritime hinterland of a port. The entire course will be carried out in computer lab using MS Excel for data processing and analysis.</w:t>
            </w:r>
          </w:p>
        </w:tc>
        <w:tc>
          <w:tcPr>
            <w:tcW w:w="709" w:type="dxa"/>
            <w:noWrap/>
            <w:hideMark/>
          </w:tcPr>
          <w:p w14:paraId="3196A8C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7BD61BD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322CB30F" w14:textId="77777777" w:rsidTr="00C43903">
        <w:trPr>
          <w:trHeight w:val="3823"/>
        </w:trPr>
        <w:tc>
          <w:tcPr>
            <w:tcW w:w="529" w:type="dxa"/>
            <w:noWrap/>
            <w:hideMark/>
          </w:tcPr>
          <w:p w14:paraId="12A68E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1AB1A8A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107500</w:t>
            </w:r>
          </w:p>
        </w:tc>
        <w:tc>
          <w:tcPr>
            <w:tcW w:w="1040" w:type="dxa"/>
            <w:hideMark/>
          </w:tcPr>
          <w:p w14:paraId="2C9F36E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LABORATORIO DI AUTOSVILUPPO E AUTOAPPRENDIMENTO GUIDATO DELLE COMPETENZE ABILITANTI LM ECONOMIA)</w:t>
            </w:r>
          </w:p>
        </w:tc>
        <w:tc>
          <w:tcPr>
            <w:tcW w:w="1276" w:type="dxa"/>
            <w:hideMark/>
          </w:tcPr>
          <w:p w14:paraId="730B076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SELF-DEVELOPMENT WORKSHOP AND GUIDED SELF-LEARNING  OF ENABLING COMPETENCES  (LIFE SKILLS, DIGITAL SKILLS AND SOFT SKILLS) LM</w:t>
            </w:r>
          </w:p>
        </w:tc>
        <w:tc>
          <w:tcPr>
            <w:tcW w:w="567" w:type="dxa"/>
            <w:noWrap/>
            <w:hideMark/>
          </w:tcPr>
          <w:p w14:paraId="0927C41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5599D5A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09A6762F"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5210AEF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6515BF1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0E5051B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3A5A843C"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Le studentesse e gli studenti impareranno a scoprire i propri punti di forza e potenziarli e i propri aspetti da migliorare, impareranno come ci si confronta e come si agisce in un sistema professionale capendo cosa interessa loro e come ottenerlo per loro stessi. Un vantaggio immediato sarà di potere organizzare meglio i propri studi e gestire il proprio tempo con successo, ottenendo di più e con meno fatica dal proprio percorso di studi.</w:t>
            </w:r>
          </w:p>
        </w:tc>
        <w:tc>
          <w:tcPr>
            <w:tcW w:w="2977" w:type="dxa"/>
            <w:hideMark/>
          </w:tcPr>
          <w:p w14:paraId="3D8FCD9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Female students will learn to discover their strengths and enhance them and their own aspects to improve, learn how to compare and act in a professional system by understanding what interests them and how to achieve it for themselves. An immediate benefit will be to be able to better organize their studies and manage their time successfully, getting more out of their studies and with less effort.</w:t>
            </w:r>
          </w:p>
        </w:tc>
        <w:tc>
          <w:tcPr>
            <w:tcW w:w="709" w:type="dxa"/>
            <w:noWrap/>
            <w:hideMark/>
          </w:tcPr>
          <w:p w14:paraId="50CEBA8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25D6880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487172FE" w14:textId="77777777" w:rsidTr="00C43903">
        <w:trPr>
          <w:trHeight w:val="3913"/>
        </w:trPr>
        <w:tc>
          <w:tcPr>
            <w:tcW w:w="529" w:type="dxa"/>
            <w:noWrap/>
            <w:hideMark/>
          </w:tcPr>
          <w:p w14:paraId="77DE035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w:t>
            </w:r>
          </w:p>
        </w:tc>
        <w:tc>
          <w:tcPr>
            <w:tcW w:w="836" w:type="dxa"/>
            <w:noWrap/>
            <w:hideMark/>
          </w:tcPr>
          <w:p w14:paraId="1B33FA7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111371</w:t>
            </w:r>
          </w:p>
        </w:tc>
        <w:tc>
          <w:tcPr>
            <w:tcW w:w="1040" w:type="dxa"/>
            <w:hideMark/>
          </w:tcPr>
          <w:p w14:paraId="341CDF2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SHIPPING ENGLISH</w:t>
            </w:r>
          </w:p>
        </w:tc>
        <w:tc>
          <w:tcPr>
            <w:tcW w:w="1276" w:type="dxa"/>
            <w:hideMark/>
          </w:tcPr>
          <w:p w14:paraId="52AABEC7"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AND SHIPPING ENGLISH</w:t>
            </w:r>
          </w:p>
        </w:tc>
        <w:tc>
          <w:tcPr>
            <w:tcW w:w="567" w:type="dxa"/>
            <w:noWrap/>
            <w:hideMark/>
          </w:tcPr>
          <w:p w14:paraId="7B65B4A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07D14FA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L-LIN/12</w:t>
            </w:r>
          </w:p>
        </w:tc>
        <w:tc>
          <w:tcPr>
            <w:tcW w:w="850" w:type="dxa"/>
            <w:hideMark/>
          </w:tcPr>
          <w:p w14:paraId="03E893DB"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ULTERIORI ATTIVITA' FORMATIVE </w:t>
            </w:r>
          </w:p>
        </w:tc>
        <w:tc>
          <w:tcPr>
            <w:tcW w:w="993" w:type="dxa"/>
            <w:hideMark/>
          </w:tcPr>
          <w:p w14:paraId="0C7CED2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Ulteriori attività formative</w:t>
            </w:r>
          </w:p>
        </w:tc>
        <w:tc>
          <w:tcPr>
            <w:tcW w:w="850" w:type="dxa"/>
            <w:noWrap/>
            <w:hideMark/>
          </w:tcPr>
          <w:p w14:paraId="2FA3050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Inglese</w:t>
            </w:r>
          </w:p>
        </w:tc>
        <w:tc>
          <w:tcPr>
            <w:tcW w:w="709" w:type="dxa"/>
            <w:hideMark/>
          </w:tcPr>
          <w:p w14:paraId="1C03B94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102012 - ENGLISH LANGUAGE B2 LEVEL: DEVELOPMENT OF COMMUNICATION AND STUDY SKILLS FOR EMMP STUDENTS (Obbligatorio)</w:t>
            </w:r>
          </w:p>
        </w:tc>
        <w:tc>
          <w:tcPr>
            <w:tcW w:w="3118" w:type="dxa"/>
            <w:hideMark/>
          </w:tcPr>
          <w:p w14:paraId="55E892D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mira a rafforzare le capacità comunicative in lingua inglese al livello B2 in ambiti professionali. Verranno trattati i seguenti argomenti: la catena di approvvigionamento e il trasporto internazionale; il contratto di trasporto; l'assicurazione marittima; il ruolo delle dogane nelle trattative commerciali</w:t>
            </w:r>
          </w:p>
        </w:tc>
        <w:tc>
          <w:tcPr>
            <w:tcW w:w="2977" w:type="dxa"/>
            <w:hideMark/>
          </w:tcPr>
          <w:p w14:paraId="56553F9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 The course aims to strengthen professional communication skills, both receptive and productive, in English at the B2 level of the CEFR. </w:t>
            </w:r>
            <w:r w:rsidRPr="00320763">
              <w:rPr>
                <w:rFonts w:ascii="Calibri" w:hAnsi="Calibri"/>
                <w:bCs/>
                <w:sz w:val="18"/>
                <w:szCs w:val="18"/>
              </w:rPr>
              <w:br/>
              <w:t>Focus is placed on the following interrelated topics: the supply chain and international transport; the contract of carriage; marine insurance; trade facilitation and the role of customs</w:t>
            </w:r>
          </w:p>
        </w:tc>
        <w:tc>
          <w:tcPr>
            <w:tcW w:w="709" w:type="dxa"/>
            <w:noWrap/>
            <w:hideMark/>
          </w:tcPr>
          <w:p w14:paraId="1F7500F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66B1A770"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r w:rsidR="00E13452" w:rsidRPr="00320763" w14:paraId="11FE5E04" w14:textId="77777777" w:rsidTr="00C43903">
        <w:trPr>
          <w:trHeight w:val="2772"/>
        </w:trPr>
        <w:tc>
          <w:tcPr>
            <w:tcW w:w="529" w:type="dxa"/>
            <w:noWrap/>
            <w:hideMark/>
          </w:tcPr>
          <w:p w14:paraId="4355450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lastRenderedPageBreak/>
              <w:t>2</w:t>
            </w:r>
          </w:p>
        </w:tc>
        <w:tc>
          <w:tcPr>
            <w:tcW w:w="836" w:type="dxa"/>
            <w:noWrap/>
            <w:hideMark/>
          </w:tcPr>
          <w:p w14:paraId="3946E83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111521</w:t>
            </w:r>
          </w:p>
        </w:tc>
        <w:tc>
          <w:tcPr>
            <w:tcW w:w="1040" w:type="dxa"/>
            <w:hideMark/>
          </w:tcPr>
          <w:p w14:paraId="7046DC9E"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CUSTOMS AND TAX LAW AND PRACTICE</w:t>
            </w:r>
          </w:p>
        </w:tc>
        <w:tc>
          <w:tcPr>
            <w:tcW w:w="1276" w:type="dxa"/>
            <w:hideMark/>
          </w:tcPr>
          <w:p w14:paraId="698A8F6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MARITIME CUSTOMS AND TAX LAW AND PRACTICE</w:t>
            </w:r>
          </w:p>
        </w:tc>
        <w:tc>
          <w:tcPr>
            <w:tcW w:w="567" w:type="dxa"/>
            <w:noWrap/>
            <w:hideMark/>
          </w:tcPr>
          <w:p w14:paraId="03AC8C49"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3</w:t>
            </w:r>
          </w:p>
        </w:tc>
        <w:tc>
          <w:tcPr>
            <w:tcW w:w="567" w:type="dxa"/>
            <w:hideMark/>
          </w:tcPr>
          <w:p w14:paraId="0D8E778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850" w:type="dxa"/>
            <w:hideMark/>
          </w:tcPr>
          <w:p w14:paraId="2D8C59E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xml:space="preserve">A SCELTA                      </w:t>
            </w:r>
          </w:p>
        </w:tc>
        <w:tc>
          <w:tcPr>
            <w:tcW w:w="993" w:type="dxa"/>
            <w:hideMark/>
          </w:tcPr>
          <w:p w14:paraId="7C629171"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A Scelta dello Studente</w:t>
            </w:r>
          </w:p>
        </w:tc>
        <w:tc>
          <w:tcPr>
            <w:tcW w:w="850" w:type="dxa"/>
            <w:noWrap/>
            <w:hideMark/>
          </w:tcPr>
          <w:p w14:paraId="6C728CAA"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Italiano</w:t>
            </w:r>
          </w:p>
        </w:tc>
        <w:tc>
          <w:tcPr>
            <w:tcW w:w="709" w:type="dxa"/>
            <w:hideMark/>
          </w:tcPr>
          <w:p w14:paraId="018B5644"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 </w:t>
            </w:r>
          </w:p>
        </w:tc>
        <w:tc>
          <w:tcPr>
            <w:tcW w:w="3118" w:type="dxa"/>
            <w:hideMark/>
          </w:tcPr>
          <w:p w14:paraId="59790F98"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L'insegnamento ha come obiettivo quello di fornire allo studente le competenze basilari relative ai presupposti giuridici e all'applicazione professionale dei sistemi di tassazione (diretti ed indiretti) delle imprese attive nel settore marittimo. In tale contesto saranno analizzati i regimi fiscali tipici e gli strumenti agevolativi disponibili a livello nazionale ed internazionale, con particolare enfasi sui modelli di tonnage tax.  Infine, verranno introdotti i principi essenziali del diritto e della tecnica doganale che interessano le attività marittimo portuali</w:t>
            </w:r>
          </w:p>
        </w:tc>
        <w:tc>
          <w:tcPr>
            <w:tcW w:w="2977" w:type="dxa"/>
            <w:hideMark/>
          </w:tcPr>
          <w:p w14:paraId="14583076"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The course aims to provide the student with the basic skills relating to the legal conditions and the professional application of the taxation systems (direct and indirect) of companies active in the maritime sector. In this context, typical tax regimes and aid instruments available at national and international level will be analysed, with particular emphasis on tonnage tax models. Finally, the essential principles of customs law and techniques concerning maritime port activities will be introduced.</w:t>
            </w:r>
          </w:p>
        </w:tc>
        <w:tc>
          <w:tcPr>
            <w:tcW w:w="709" w:type="dxa"/>
            <w:noWrap/>
            <w:hideMark/>
          </w:tcPr>
          <w:p w14:paraId="1647CF93"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24</w:t>
            </w:r>
          </w:p>
        </w:tc>
        <w:tc>
          <w:tcPr>
            <w:tcW w:w="589" w:type="dxa"/>
            <w:noWrap/>
            <w:hideMark/>
          </w:tcPr>
          <w:p w14:paraId="5BF2F06D" w14:textId="77777777" w:rsidR="00E13452" w:rsidRPr="00320763" w:rsidRDefault="00E13452" w:rsidP="00C43903">
            <w:pPr>
              <w:spacing w:before="56"/>
              <w:rPr>
                <w:rFonts w:ascii="Calibri" w:hAnsi="Calibri"/>
                <w:bCs/>
                <w:sz w:val="18"/>
                <w:szCs w:val="18"/>
              </w:rPr>
            </w:pPr>
            <w:r w:rsidRPr="00320763">
              <w:rPr>
                <w:rFonts w:ascii="Calibri" w:hAnsi="Calibri"/>
                <w:bCs/>
                <w:sz w:val="18"/>
                <w:szCs w:val="18"/>
              </w:rPr>
              <w:t>51</w:t>
            </w:r>
          </w:p>
        </w:tc>
      </w:tr>
    </w:tbl>
    <w:p w14:paraId="66697FD1" w14:textId="77777777" w:rsidR="00E13452" w:rsidRPr="00320763" w:rsidRDefault="00E13452" w:rsidP="00E13452">
      <w:pPr>
        <w:spacing w:before="56"/>
        <w:rPr>
          <w:rFonts w:ascii="Calibri" w:hAnsi="Calibri"/>
          <w:bCs/>
        </w:rPr>
      </w:pPr>
    </w:p>
    <w:p w14:paraId="386889AB" w14:textId="77777777" w:rsidR="00E13452" w:rsidRPr="00467F07" w:rsidRDefault="00E13452" w:rsidP="00467F07">
      <w:pPr>
        <w:spacing w:after="0" w:line="240" w:lineRule="auto"/>
        <w:ind w:firstLine="284"/>
        <w:jc w:val="both"/>
        <w:rPr>
          <w:rFonts w:ascii="Times New Roman" w:hAnsi="Times New Roman" w:cs="Times New Roman"/>
          <w:sz w:val="24"/>
          <w:szCs w:val="24"/>
        </w:rPr>
      </w:pPr>
    </w:p>
    <w:p w14:paraId="69CCB33C" w14:textId="77777777" w:rsidR="0029580F" w:rsidRPr="000B448E" w:rsidRDefault="0029580F" w:rsidP="00F104DC">
      <w:pPr>
        <w:pStyle w:val="Paragrafoelenco"/>
        <w:spacing w:after="0" w:line="240" w:lineRule="auto"/>
        <w:jc w:val="both"/>
        <w:rPr>
          <w:rFonts w:ascii="Times New Roman" w:hAnsi="Times New Roman" w:cs="Times New Roman"/>
          <w:sz w:val="24"/>
          <w:szCs w:val="24"/>
          <w:highlight w:val="green"/>
        </w:rPr>
      </w:pPr>
    </w:p>
    <w:sectPr w:rsidR="0029580F" w:rsidRPr="000B448E" w:rsidSect="00431451">
      <w:footerReference w:type="default" r:id="rId9"/>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A232" w14:textId="77777777" w:rsidR="00BF1991" w:rsidRDefault="00BF1991" w:rsidP="00207E4C">
      <w:pPr>
        <w:spacing w:after="0" w:line="240" w:lineRule="auto"/>
      </w:pPr>
      <w:r>
        <w:separator/>
      </w:r>
    </w:p>
  </w:endnote>
  <w:endnote w:type="continuationSeparator" w:id="0">
    <w:p w14:paraId="2FA2F4B8" w14:textId="77777777" w:rsidR="00BF1991" w:rsidRDefault="00BF1991" w:rsidP="0020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294"/>
      <w:docPartObj>
        <w:docPartGallery w:val="Page Numbers (Bottom of Page)"/>
        <w:docPartUnique/>
      </w:docPartObj>
    </w:sdtPr>
    <w:sdtEndPr>
      <w:rPr>
        <w:rFonts w:ascii="Times New Roman" w:hAnsi="Times New Roman" w:cs="Times New Roman"/>
        <w:sz w:val="24"/>
        <w:szCs w:val="24"/>
      </w:rPr>
    </w:sdtEndPr>
    <w:sdtContent>
      <w:p w14:paraId="077FDA2B" w14:textId="0F86FE74" w:rsidR="001546EB" w:rsidRPr="001546EB" w:rsidRDefault="001546EB">
        <w:pPr>
          <w:pStyle w:val="Pidipagina"/>
          <w:jc w:val="center"/>
          <w:rPr>
            <w:rFonts w:ascii="Times New Roman" w:hAnsi="Times New Roman" w:cs="Times New Roman"/>
            <w:sz w:val="24"/>
            <w:szCs w:val="24"/>
          </w:rPr>
        </w:pPr>
        <w:r w:rsidRPr="001546EB">
          <w:rPr>
            <w:rFonts w:ascii="Times New Roman" w:hAnsi="Times New Roman" w:cs="Times New Roman"/>
            <w:sz w:val="24"/>
            <w:szCs w:val="24"/>
          </w:rPr>
          <w:fldChar w:fldCharType="begin"/>
        </w:r>
        <w:r w:rsidRPr="001546EB">
          <w:rPr>
            <w:rFonts w:ascii="Times New Roman" w:hAnsi="Times New Roman" w:cs="Times New Roman"/>
            <w:sz w:val="24"/>
            <w:szCs w:val="24"/>
          </w:rPr>
          <w:instrText>PAGE   \* MERGEFORMAT</w:instrText>
        </w:r>
        <w:r w:rsidRPr="001546EB">
          <w:rPr>
            <w:rFonts w:ascii="Times New Roman" w:hAnsi="Times New Roman" w:cs="Times New Roman"/>
            <w:sz w:val="24"/>
            <w:szCs w:val="24"/>
          </w:rPr>
          <w:fldChar w:fldCharType="separate"/>
        </w:r>
        <w:r w:rsidR="00D8031E">
          <w:rPr>
            <w:rFonts w:ascii="Times New Roman" w:hAnsi="Times New Roman" w:cs="Times New Roman"/>
            <w:noProof/>
            <w:sz w:val="24"/>
            <w:szCs w:val="24"/>
          </w:rPr>
          <w:t>5</w:t>
        </w:r>
        <w:r w:rsidRPr="001546EB">
          <w:rPr>
            <w:rFonts w:ascii="Times New Roman" w:hAnsi="Times New Roman" w:cs="Times New Roman"/>
            <w:sz w:val="24"/>
            <w:szCs w:val="24"/>
          </w:rPr>
          <w:fldChar w:fldCharType="end"/>
        </w:r>
      </w:p>
    </w:sdtContent>
  </w:sdt>
  <w:p w14:paraId="43424AE6" w14:textId="77777777" w:rsidR="0029580F" w:rsidRDefault="002958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4DB2" w14:textId="77777777" w:rsidR="00BF1991" w:rsidRDefault="00BF1991" w:rsidP="00207E4C">
      <w:pPr>
        <w:spacing w:after="0" w:line="240" w:lineRule="auto"/>
      </w:pPr>
      <w:r>
        <w:separator/>
      </w:r>
    </w:p>
  </w:footnote>
  <w:footnote w:type="continuationSeparator" w:id="0">
    <w:p w14:paraId="7A2751FF" w14:textId="77777777" w:rsidR="00BF1991" w:rsidRDefault="00BF1991" w:rsidP="00207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1D5"/>
    <w:multiLevelType w:val="hybridMultilevel"/>
    <w:tmpl w:val="E8746E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F2900"/>
    <w:multiLevelType w:val="hybridMultilevel"/>
    <w:tmpl w:val="4E58DA62"/>
    <w:lvl w:ilvl="0" w:tplc="04100017">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218E0"/>
    <w:multiLevelType w:val="hybridMultilevel"/>
    <w:tmpl w:val="B8D693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56708"/>
    <w:multiLevelType w:val="hybridMultilevel"/>
    <w:tmpl w:val="3556A3C8"/>
    <w:lvl w:ilvl="0" w:tplc="CFB2591E">
      <w:start w:val="1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9A904D4"/>
    <w:multiLevelType w:val="hybridMultilevel"/>
    <w:tmpl w:val="91EC841E"/>
    <w:lvl w:ilvl="0" w:tplc="B2E0C4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AE3C5E"/>
    <w:multiLevelType w:val="hybridMultilevel"/>
    <w:tmpl w:val="98E030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134174"/>
    <w:multiLevelType w:val="hybridMultilevel"/>
    <w:tmpl w:val="96DE66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1A67BE9"/>
    <w:multiLevelType w:val="multilevel"/>
    <w:tmpl w:val="F0C8B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A3BB1"/>
    <w:multiLevelType w:val="hybridMultilevel"/>
    <w:tmpl w:val="60B0D3F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9" w15:restartNumberingAfterBreak="0">
    <w:nsid w:val="3E8A6F7D"/>
    <w:multiLevelType w:val="hybridMultilevel"/>
    <w:tmpl w:val="A7FE265C"/>
    <w:lvl w:ilvl="0" w:tplc="B34874DC">
      <w:start w:val="1"/>
      <w:numFmt w:val="lowerLetter"/>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0E33F0"/>
    <w:multiLevelType w:val="hybridMultilevel"/>
    <w:tmpl w:val="211A3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C6218F"/>
    <w:multiLevelType w:val="hybridMultilevel"/>
    <w:tmpl w:val="07DA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4D5816"/>
    <w:multiLevelType w:val="hybridMultilevel"/>
    <w:tmpl w:val="1CE60FA2"/>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13" w15:restartNumberingAfterBreak="0">
    <w:nsid w:val="57477612"/>
    <w:multiLevelType w:val="hybridMultilevel"/>
    <w:tmpl w:val="B456E1E6"/>
    <w:lvl w:ilvl="0" w:tplc="BB041BD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62038E"/>
    <w:multiLevelType w:val="hybridMultilevel"/>
    <w:tmpl w:val="24C28C5C"/>
    <w:lvl w:ilvl="0" w:tplc="0410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50288F"/>
    <w:multiLevelType w:val="hybridMultilevel"/>
    <w:tmpl w:val="7A544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8F2EC3"/>
    <w:multiLevelType w:val="hybridMultilevel"/>
    <w:tmpl w:val="46AC94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F66B73"/>
    <w:multiLevelType w:val="hybridMultilevel"/>
    <w:tmpl w:val="76728E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AF6DFC"/>
    <w:multiLevelType w:val="hybridMultilevel"/>
    <w:tmpl w:val="CE24E724"/>
    <w:lvl w:ilvl="0" w:tplc="5630E7F2">
      <w:start w:val="1"/>
      <w:numFmt w:val="lowerLetter"/>
      <w:lvlText w:val="%1)"/>
      <w:lvlJc w:val="left"/>
      <w:pPr>
        <w:ind w:left="468" w:hanging="360"/>
      </w:pPr>
      <w:rPr>
        <w:rFonts w:hint="default"/>
        <w:color w:val="auto"/>
        <w:sz w:val="22"/>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19" w15:restartNumberingAfterBreak="0">
    <w:nsid w:val="658B5725"/>
    <w:multiLevelType w:val="hybridMultilevel"/>
    <w:tmpl w:val="132856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727975"/>
    <w:multiLevelType w:val="hybridMultilevel"/>
    <w:tmpl w:val="9ADED9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5"/>
  </w:num>
  <w:num w:numId="4">
    <w:abstractNumId w:val="2"/>
  </w:num>
  <w:num w:numId="5">
    <w:abstractNumId w:val="3"/>
  </w:num>
  <w:num w:numId="6">
    <w:abstractNumId w:val="13"/>
  </w:num>
  <w:num w:numId="7">
    <w:abstractNumId w:val="19"/>
  </w:num>
  <w:num w:numId="8">
    <w:abstractNumId w:val="18"/>
  </w:num>
  <w:num w:numId="9">
    <w:abstractNumId w:val="9"/>
  </w:num>
  <w:num w:numId="10">
    <w:abstractNumId w:val="7"/>
  </w:num>
  <w:num w:numId="11">
    <w:abstractNumId w:val="11"/>
  </w:num>
  <w:num w:numId="12">
    <w:abstractNumId w:val="8"/>
  </w:num>
  <w:num w:numId="13">
    <w:abstractNumId w:val="4"/>
  </w:num>
  <w:num w:numId="14">
    <w:abstractNumId w:val="16"/>
  </w:num>
  <w:num w:numId="15">
    <w:abstractNumId w:val="6"/>
  </w:num>
  <w:num w:numId="16">
    <w:abstractNumId w:val="12"/>
  </w:num>
  <w:num w:numId="17">
    <w:abstractNumId w:val="15"/>
  </w:num>
  <w:num w:numId="18">
    <w:abstractNumId w:val="1"/>
  </w:num>
  <w:num w:numId="19">
    <w:abstractNumId w:val="20"/>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EC"/>
    <w:rsid w:val="00025159"/>
    <w:rsid w:val="00034B83"/>
    <w:rsid w:val="000351EC"/>
    <w:rsid w:val="00041087"/>
    <w:rsid w:val="00061A5C"/>
    <w:rsid w:val="000645F7"/>
    <w:rsid w:val="0007573F"/>
    <w:rsid w:val="00076EF1"/>
    <w:rsid w:val="000905A9"/>
    <w:rsid w:val="00093ACF"/>
    <w:rsid w:val="00097014"/>
    <w:rsid w:val="000A0C9B"/>
    <w:rsid w:val="000A1300"/>
    <w:rsid w:val="000A349C"/>
    <w:rsid w:val="000A56D1"/>
    <w:rsid w:val="000B448E"/>
    <w:rsid w:val="000C2318"/>
    <w:rsid w:val="000C329C"/>
    <w:rsid w:val="000C54E5"/>
    <w:rsid w:val="000D3E54"/>
    <w:rsid w:val="000E07B1"/>
    <w:rsid w:val="001020BF"/>
    <w:rsid w:val="0012001E"/>
    <w:rsid w:val="00130EF6"/>
    <w:rsid w:val="0014093D"/>
    <w:rsid w:val="001456B7"/>
    <w:rsid w:val="00152D73"/>
    <w:rsid w:val="001546EB"/>
    <w:rsid w:val="00157E86"/>
    <w:rsid w:val="00162A48"/>
    <w:rsid w:val="001708B5"/>
    <w:rsid w:val="0017104E"/>
    <w:rsid w:val="00174854"/>
    <w:rsid w:val="00182016"/>
    <w:rsid w:val="001850F4"/>
    <w:rsid w:val="001940E2"/>
    <w:rsid w:val="0019457D"/>
    <w:rsid w:val="00195022"/>
    <w:rsid w:val="001A3398"/>
    <w:rsid w:val="001A555D"/>
    <w:rsid w:val="001B0527"/>
    <w:rsid w:val="001B4A15"/>
    <w:rsid w:val="001C4EF7"/>
    <w:rsid w:val="001D2EA0"/>
    <w:rsid w:val="001D68DB"/>
    <w:rsid w:val="001D7885"/>
    <w:rsid w:val="001E2D33"/>
    <w:rsid w:val="001E4350"/>
    <w:rsid w:val="001F1B65"/>
    <w:rsid w:val="001F57DE"/>
    <w:rsid w:val="00204DF4"/>
    <w:rsid w:val="00205835"/>
    <w:rsid w:val="00207E4C"/>
    <w:rsid w:val="00210E4C"/>
    <w:rsid w:val="00211301"/>
    <w:rsid w:val="00212672"/>
    <w:rsid w:val="00216CE1"/>
    <w:rsid w:val="0022401D"/>
    <w:rsid w:val="00224A0A"/>
    <w:rsid w:val="00224C10"/>
    <w:rsid w:val="00231A6D"/>
    <w:rsid w:val="00231D72"/>
    <w:rsid w:val="0023619F"/>
    <w:rsid w:val="002444B8"/>
    <w:rsid w:val="00263E06"/>
    <w:rsid w:val="00273175"/>
    <w:rsid w:val="0029580F"/>
    <w:rsid w:val="002A6AED"/>
    <w:rsid w:val="002C3FD1"/>
    <w:rsid w:val="002D6B87"/>
    <w:rsid w:val="002D75C4"/>
    <w:rsid w:val="002D7C0D"/>
    <w:rsid w:val="00310BD0"/>
    <w:rsid w:val="0031333C"/>
    <w:rsid w:val="0032055A"/>
    <w:rsid w:val="00320981"/>
    <w:rsid w:val="0032379E"/>
    <w:rsid w:val="003245BE"/>
    <w:rsid w:val="00336D04"/>
    <w:rsid w:val="00340C80"/>
    <w:rsid w:val="0034134A"/>
    <w:rsid w:val="00345492"/>
    <w:rsid w:val="003460F7"/>
    <w:rsid w:val="0035096C"/>
    <w:rsid w:val="003512A4"/>
    <w:rsid w:val="003566A7"/>
    <w:rsid w:val="00362D3B"/>
    <w:rsid w:val="003722C3"/>
    <w:rsid w:val="00377FCC"/>
    <w:rsid w:val="00390B8D"/>
    <w:rsid w:val="00392F85"/>
    <w:rsid w:val="003A3558"/>
    <w:rsid w:val="003A57AD"/>
    <w:rsid w:val="003B27F9"/>
    <w:rsid w:val="003D17A8"/>
    <w:rsid w:val="003D237C"/>
    <w:rsid w:val="003E4348"/>
    <w:rsid w:val="003F5B37"/>
    <w:rsid w:val="004000DF"/>
    <w:rsid w:val="0040145F"/>
    <w:rsid w:val="00411DF9"/>
    <w:rsid w:val="00431433"/>
    <w:rsid w:val="00431451"/>
    <w:rsid w:val="0044171B"/>
    <w:rsid w:val="0044448A"/>
    <w:rsid w:val="004445B8"/>
    <w:rsid w:val="0044648A"/>
    <w:rsid w:val="00450E2F"/>
    <w:rsid w:val="004511B7"/>
    <w:rsid w:val="00454E8B"/>
    <w:rsid w:val="004564DE"/>
    <w:rsid w:val="004577F4"/>
    <w:rsid w:val="00467F07"/>
    <w:rsid w:val="00471FE1"/>
    <w:rsid w:val="00477754"/>
    <w:rsid w:val="00487D36"/>
    <w:rsid w:val="00492833"/>
    <w:rsid w:val="00493E00"/>
    <w:rsid w:val="00497FB7"/>
    <w:rsid w:val="004A0A2E"/>
    <w:rsid w:val="004C44A8"/>
    <w:rsid w:val="004C51FC"/>
    <w:rsid w:val="004D0C6E"/>
    <w:rsid w:val="004D56CC"/>
    <w:rsid w:val="004E3773"/>
    <w:rsid w:val="004E59AD"/>
    <w:rsid w:val="005014A8"/>
    <w:rsid w:val="00503FC4"/>
    <w:rsid w:val="0051282D"/>
    <w:rsid w:val="005173EC"/>
    <w:rsid w:val="00523991"/>
    <w:rsid w:val="005247D9"/>
    <w:rsid w:val="005335CD"/>
    <w:rsid w:val="00534DA5"/>
    <w:rsid w:val="005355CE"/>
    <w:rsid w:val="00537D6C"/>
    <w:rsid w:val="00552A58"/>
    <w:rsid w:val="005565E7"/>
    <w:rsid w:val="005627E9"/>
    <w:rsid w:val="00563547"/>
    <w:rsid w:val="00567FFB"/>
    <w:rsid w:val="00570B2C"/>
    <w:rsid w:val="00573B02"/>
    <w:rsid w:val="00582BDE"/>
    <w:rsid w:val="00590EE2"/>
    <w:rsid w:val="00591856"/>
    <w:rsid w:val="00594EA7"/>
    <w:rsid w:val="005A0B0F"/>
    <w:rsid w:val="005A219B"/>
    <w:rsid w:val="005B3FC9"/>
    <w:rsid w:val="005B439E"/>
    <w:rsid w:val="005C4AAC"/>
    <w:rsid w:val="005D6EF9"/>
    <w:rsid w:val="0060328C"/>
    <w:rsid w:val="00607632"/>
    <w:rsid w:val="00614506"/>
    <w:rsid w:val="0062103F"/>
    <w:rsid w:val="0062787F"/>
    <w:rsid w:val="00630266"/>
    <w:rsid w:val="00630F19"/>
    <w:rsid w:val="00634BF8"/>
    <w:rsid w:val="00643419"/>
    <w:rsid w:val="006454D3"/>
    <w:rsid w:val="00651768"/>
    <w:rsid w:val="006535B3"/>
    <w:rsid w:val="006647AB"/>
    <w:rsid w:val="0068059C"/>
    <w:rsid w:val="00682A57"/>
    <w:rsid w:val="00690344"/>
    <w:rsid w:val="00690920"/>
    <w:rsid w:val="0069637E"/>
    <w:rsid w:val="006969F1"/>
    <w:rsid w:val="006A3C8F"/>
    <w:rsid w:val="006C1745"/>
    <w:rsid w:val="006C7985"/>
    <w:rsid w:val="006D3D2B"/>
    <w:rsid w:val="006D7046"/>
    <w:rsid w:val="006E085A"/>
    <w:rsid w:val="006E7173"/>
    <w:rsid w:val="006F4F09"/>
    <w:rsid w:val="00703045"/>
    <w:rsid w:val="0070624A"/>
    <w:rsid w:val="00721FAB"/>
    <w:rsid w:val="00724C6B"/>
    <w:rsid w:val="007306F7"/>
    <w:rsid w:val="00735198"/>
    <w:rsid w:val="00737B3C"/>
    <w:rsid w:val="00747F78"/>
    <w:rsid w:val="00756520"/>
    <w:rsid w:val="00761F42"/>
    <w:rsid w:val="00775501"/>
    <w:rsid w:val="007832BA"/>
    <w:rsid w:val="00796B0E"/>
    <w:rsid w:val="007A03C6"/>
    <w:rsid w:val="007C450A"/>
    <w:rsid w:val="007C6E90"/>
    <w:rsid w:val="00803AF8"/>
    <w:rsid w:val="00807F55"/>
    <w:rsid w:val="0081159A"/>
    <w:rsid w:val="00814A57"/>
    <w:rsid w:val="00820622"/>
    <w:rsid w:val="008222AE"/>
    <w:rsid w:val="00822F33"/>
    <w:rsid w:val="00824A41"/>
    <w:rsid w:val="00835774"/>
    <w:rsid w:val="008531E8"/>
    <w:rsid w:val="008545FA"/>
    <w:rsid w:val="00856FC5"/>
    <w:rsid w:val="0086232F"/>
    <w:rsid w:val="008649F2"/>
    <w:rsid w:val="00872368"/>
    <w:rsid w:val="00880118"/>
    <w:rsid w:val="0088069D"/>
    <w:rsid w:val="008817FC"/>
    <w:rsid w:val="00885A21"/>
    <w:rsid w:val="008933B9"/>
    <w:rsid w:val="00893DDD"/>
    <w:rsid w:val="00895D83"/>
    <w:rsid w:val="008A1B9E"/>
    <w:rsid w:val="008A6FCD"/>
    <w:rsid w:val="008B4776"/>
    <w:rsid w:val="008B4B4B"/>
    <w:rsid w:val="008C35D8"/>
    <w:rsid w:val="008D6D91"/>
    <w:rsid w:val="008E41C7"/>
    <w:rsid w:val="008F4CC3"/>
    <w:rsid w:val="008F51F0"/>
    <w:rsid w:val="0091408B"/>
    <w:rsid w:val="00925156"/>
    <w:rsid w:val="00930026"/>
    <w:rsid w:val="009306AD"/>
    <w:rsid w:val="0094371D"/>
    <w:rsid w:val="00945232"/>
    <w:rsid w:val="009545DB"/>
    <w:rsid w:val="009642F9"/>
    <w:rsid w:val="00967C54"/>
    <w:rsid w:val="00971AC9"/>
    <w:rsid w:val="009817EC"/>
    <w:rsid w:val="00990714"/>
    <w:rsid w:val="009907A5"/>
    <w:rsid w:val="009A10A6"/>
    <w:rsid w:val="009A3E91"/>
    <w:rsid w:val="009B4123"/>
    <w:rsid w:val="009B4D0B"/>
    <w:rsid w:val="009D4329"/>
    <w:rsid w:val="009E7278"/>
    <w:rsid w:val="009F09ED"/>
    <w:rsid w:val="009F11A2"/>
    <w:rsid w:val="009F1714"/>
    <w:rsid w:val="009F3390"/>
    <w:rsid w:val="009F442F"/>
    <w:rsid w:val="00A1465B"/>
    <w:rsid w:val="00A222C5"/>
    <w:rsid w:val="00A26879"/>
    <w:rsid w:val="00A3018C"/>
    <w:rsid w:val="00A31358"/>
    <w:rsid w:val="00A342FB"/>
    <w:rsid w:val="00A34F31"/>
    <w:rsid w:val="00A37508"/>
    <w:rsid w:val="00A44983"/>
    <w:rsid w:val="00A56387"/>
    <w:rsid w:val="00A57DE4"/>
    <w:rsid w:val="00A60EAF"/>
    <w:rsid w:val="00A82C57"/>
    <w:rsid w:val="00A87929"/>
    <w:rsid w:val="00A934F2"/>
    <w:rsid w:val="00AA39AE"/>
    <w:rsid w:val="00AB1E5C"/>
    <w:rsid w:val="00AB3E05"/>
    <w:rsid w:val="00AB5805"/>
    <w:rsid w:val="00AC486C"/>
    <w:rsid w:val="00AF104F"/>
    <w:rsid w:val="00AF2F90"/>
    <w:rsid w:val="00B03483"/>
    <w:rsid w:val="00B1447F"/>
    <w:rsid w:val="00B1600A"/>
    <w:rsid w:val="00B20640"/>
    <w:rsid w:val="00B22E83"/>
    <w:rsid w:val="00B31BFC"/>
    <w:rsid w:val="00B338C1"/>
    <w:rsid w:val="00B35B08"/>
    <w:rsid w:val="00B42A81"/>
    <w:rsid w:val="00B4374E"/>
    <w:rsid w:val="00B44425"/>
    <w:rsid w:val="00B4631E"/>
    <w:rsid w:val="00B63B55"/>
    <w:rsid w:val="00B7774A"/>
    <w:rsid w:val="00B8516F"/>
    <w:rsid w:val="00B93111"/>
    <w:rsid w:val="00BA5FAD"/>
    <w:rsid w:val="00BB1F8C"/>
    <w:rsid w:val="00BC6007"/>
    <w:rsid w:val="00BD0091"/>
    <w:rsid w:val="00BD6089"/>
    <w:rsid w:val="00BD6B4D"/>
    <w:rsid w:val="00BF1991"/>
    <w:rsid w:val="00BF44AA"/>
    <w:rsid w:val="00C05621"/>
    <w:rsid w:val="00C15994"/>
    <w:rsid w:val="00C17D04"/>
    <w:rsid w:val="00C247FB"/>
    <w:rsid w:val="00C37C0F"/>
    <w:rsid w:val="00C54B8E"/>
    <w:rsid w:val="00C66116"/>
    <w:rsid w:val="00C82477"/>
    <w:rsid w:val="00C93C52"/>
    <w:rsid w:val="00CB15F2"/>
    <w:rsid w:val="00CB1831"/>
    <w:rsid w:val="00CB7EC3"/>
    <w:rsid w:val="00CC02F6"/>
    <w:rsid w:val="00CC292B"/>
    <w:rsid w:val="00CC5472"/>
    <w:rsid w:val="00CD144C"/>
    <w:rsid w:val="00CD3B39"/>
    <w:rsid w:val="00CE5FB2"/>
    <w:rsid w:val="00CE6DE9"/>
    <w:rsid w:val="00CF1D57"/>
    <w:rsid w:val="00CF5EAA"/>
    <w:rsid w:val="00D029CC"/>
    <w:rsid w:val="00D05ED9"/>
    <w:rsid w:val="00D14073"/>
    <w:rsid w:val="00D218A5"/>
    <w:rsid w:val="00D302AE"/>
    <w:rsid w:val="00D35BB3"/>
    <w:rsid w:val="00D41131"/>
    <w:rsid w:val="00D41B1E"/>
    <w:rsid w:val="00D424E0"/>
    <w:rsid w:val="00D430F1"/>
    <w:rsid w:val="00D4414D"/>
    <w:rsid w:val="00D473C4"/>
    <w:rsid w:val="00D47A6E"/>
    <w:rsid w:val="00D502F4"/>
    <w:rsid w:val="00D572D0"/>
    <w:rsid w:val="00D61074"/>
    <w:rsid w:val="00D639D7"/>
    <w:rsid w:val="00D641E2"/>
    <w:rsid w:val="00D64393"/>
    <w:rsid w:val="00D74DF9"/>
    <w:rsid w:val="00D77035"/>
    <w:rsid w:val="00D8031E"/>
    <w:rsid w:val="00D91658"/>
    <w:rsid w:val="00D96288"/>
    <w:rsid w:val="00DA1CD6"/>
    <w:rsid w:val="00DA2387"/>
    <w:rsid w:val="00DC2903"/>
    <w:rsid w:val="00DC60B5"/>
    <w:rsid w:val="00DD1BB8"/>
    <w:rsid w:val="00DD1FD2"/>
    <w:rsid w:val="00DD2E04"/>
    <w:rsid w:val="00DE4E43"/>
    <w:rsid w:val="00DE600C"/>
    <w:rsid w:val="00DE6A34"/>
    <w:rsid w:val="00DF06DA"/>
    <w:rsid w:val="00DF6573"/>
    <w:rsid w:val="00E012E8"/>
    <w:rsid w:val="00E038AE"/>
    <w:rsid w:val="00E13452"/>
    <w:rsid w:val="00E2398B"/>
    <w:rsid w:val="00E25B32"/>
    <w:rsid w:val="00E33DA9"/>
    <w:rsid w:val="00E35936"/>
    <w:rsid w:val="00E51DBD"/>
    <w:rsid w:val="00E564E5"/>
    <w:rsid w:val="00E572C1"/>
    <w:rsid w:val="00E57E07"/>
    <w:rsid w:val="00E735B9"/>
    <w:rsid w:val="00E835E0"/>
    <w:rsid w:val="00E8620E"/>
    <w:rsid w:val="00E91FCB"/>
    <w:rsid w:val="00EA042B"/>
    <w:rsid w:val="00EA593F"/>
    <w:rsid w:val="00EB0DB9"/>
    <w:rsid w:val="00EC52A6"/>
    <w:rsid w:val="00EC6E6E"/>
    <w:rsid w:val="00ED2EC0"/>
    <w:rsid w:val="00ED5C6C"/>
    <w:rsid w:val="00EE2162"/>
    <w:rsid w:val="00EF7D08"/>
    <w:rsid w:val="00F07EE7"/>
    <w:rsid w:val="00F104DC"/>
    <w:rsid w:val="00F10BDA"/>
    <w:rsid w:val="00F23CAF"/>
    <w:rsid w:val="00F47048"/>
    <w:rsid w:val="00F50355"/>
    <w:rsid w:val="00F56E60"/>
    <w:rsid w:val="00F60DBD"/>
    <w:rsid w:val="00F62A54"/>
    <w:rsid w:val="00F71F6C"/>
    <w:rsid w:val="00F77DFC"/>
    <w:rsid w:val="00F92E96"/>
    <w:rsid w:val="00FA035D"/>
    <w:rsid w:val="00FA5AD8"/>
    <w:rsid w:val="00FA5DB0"/>
    <w:rsid w:val="00FB69F7"/>
    <w:rsid w:val="00FB69FE"/>
    <w:rsid w:val="00FD7DAF"/>
    <w:rsid w:val="00FE4F9B"/>
    <w:rsid w:val="00FF3DE7"/>
    <w:rsid w:val="00FF43A4"/>
    <w:rsid w:val="00FF4CE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7405"/>
  <w15:chartTrackingRefBased/>
  <w15:docId w15:val="{2DBBC7EB-CD58-4550-9431-AC75253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B1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73EC"/>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207E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E4C"/>
  </w:style>
  <w:style w:type="paragraph" w:styleId="Pidipagina">
    <w:name w:val="footer"/>
    <w:basedOn w:val="Normale"/>
    <w:link w:val="PidipaginaCarattere"/>
    <w:uiPriority w:val="99"/>
    <w:unhideWhenUsed/>
    <w:rsid w:val="00207E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E4C"/>
  </w:style>
  <w:style w:type="paragraph" w:styleId="Paragrafoelenco">
    <w:name w:val="List Paragraph"/>
    <w:basedOn w:val="Normale"/>
    <w:uiPriority w:val="34"/>
    <w:qFormat/>
    <w:rsid w:val="0029580F"/>
    <w:pPr>
      <w:ind w:left="720"/>
      <w:contextualSpacing/>
    </w:pPr>
  </w:style>
  <w:style w:type="paragraph" w:styleId="Revisione">
    <w:name w:val="Revision"/>
    <w:hidden/>
    <w:uiPriority w:val="99"/>
    <w:semiHidden/>
    <w:rsid w:val="0019457D"/>
    <w:pPr>
      <w:spacing w:after="0" w:line="240" w:lineRule="auto"/>
    </w:pPr>
  </w:style>
  <w:style w:type="character" w:styleId="Rimandocommento">
    <w:name w:val="annotation reference"/>
    <w:basedOn w:val="Carpredefinitoparagrafo"/>
    <w:uiPriority w:val="99"/>
    <w:semiHidden/>
    <w:unhideWhenUsed/>
    <w:rsid w:val="009817EC"/>
    <w:rPr>
      <w:sz w:val="16"/>
      <w:szCs w:val="16"/>
    </w:rPr>
  </w:style>
  <w:style w:type="paragraph" w:styleId="Testocommento">
    <w:name w:val="annotation text"/>
    <w:basedOn w:val="Normale"/>
    <w:link w:val="TestocommentoCarattere"/>
    <w:uiPriority w:val="99"/>
    <w:unhideWhenUsed/>
    <w:rsid w:val="009817EC"/>
    <w:pPr>
      <w:spacing w:line="240" w:lineRule="auto"/>
    </w:pPr>
    <w:rPr>
      <w:sz w:val="20"/>
      <w:szCs w:val="20"/>
    </w:rPr>
  </w:style>
  <w:style w:type="character" w:customStyle="1" w:styleId="TestocommentoCarattere">
    <w:name w:val="Testo commento Carattere"/>
    <w:basedOn w:val="Carpredefinitoparagrafo"/>
    <w:link w:val="Testocommento"/>
    <w:uiPriority w:val="99"/>
    <w:rsid w:val="009817EC"/>
    <w:rPr>
      <w:sz w:val="20"/>
      <w:szCs w:val="20"/>
    </w:rPr>
  </w:style>
  <w:style w:type="paragraph" w:styleId="Soggettocommento">
    <w:name w:val="annotation subject"/>
    <w:basedOn w:val="Testocommento"/>
    <w:next w:val="Testocommento"/>
    <w:link w:val="SoggettocommentoCarattere"/>
    <w:uiPriority w:val="99"/>
    <w:semiHidden/>
    <w:unhideWhenUsed/>
    <w:rsid w:val="009817EC"/>
    <w:rPr>
      <w:b/>
      <w:bCs/>
    </w:rPr>
  </w:style>
  <w:style w:type="character" w:customStyle="1" w:styleId="SoggettocommentoCarattere">
    <w:name w:val="Soggetto commento Carattere"/>
    <w:basedOn w:val="TestocommentoCarattere"/>
    <w:link w:val="Soggettocommento"/>
    <w:uiPriority w:val="99"/>
    <w:semiHidden/>
    <w:rsid w:val="009817EC"/>
    <w:rPr>
      <w:b/>
      <w:bCs/>
      <w:sz w:val="20"/>
      <w:szCs w:val="20"/>
    </w:rPr>
  </w:style>
  <w:style w:type="paragraph" w:styleId="Testofumetto">
    <w:name w:val="Balloon Text"/>
    <w:basedOn w:val="Normale"/>
    <w:link w:val="TestofumettoCarattere"/>
    <w:uiPriority w:val="99"/>
    <w:semiHidden/>
    <w:unhideWhenUsed/>
    <w:rsid w:val="009817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7EC"/>
    <w:rPr>
      <w:rFonts w:ascii="Segoe UI" w:hAnsi="Segoe UI" w:cs="Segoe UI"/>
      <w:sz w:val="18"/>
      <w:szCs w:val="18"/>
    </w:rPr>
  </w:style>
  <w:style w:type="character" w:styleId="Collegamentoipertestuale">
    <w:name w:val="Hyperlink"/>
    <w:basedOn w:val="Carpredefinitoparagrafo"/>
    <w:uiPriority w:val="99"/>
    <w:semiHidden/>
    <w:unhideWhenUsed/>
    <w:rsid w:val="009817EC"/>
    <w:rPr>
      <w:color w:val="0000FF"/>
      <w:u w:val="single"/>
    </w:rPr>
  </w:style>
  <w:style w:type="table" w:styleId="Grigliatabella">
    <w:name w:val="Table Grid"/>
    <w:basedOn w:val="Tabellanormale"/>
    <w:uiPriority w:val="39"/>
    <w:rsid w:val="00E7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E735B9"/>
    <w:pPr>
      <w:widowControl w:val="0"/>
      <w:autoSpaceDE w:val="0"/>
      <w:autoSpaceDN w:val="0"/>
      <w:spacing w:after="0" w:line="240" w:lineRule="auto"/>
      <w:ind w:left="108"/>
    </w:pPr>
    <w:rPr>
      <w:rFonts w:ascii="Calibri" w:eastAsia="Calibri" w:hAnsi="Calibri" w:cs="Calibri"/>
      <w:lang w:eastAsia="it-IT" w:bidi="it-IT"/>
    </w:rPr>
  </w:style>
  <w:style w:type="paragraph" w:customStyle="1" w:styleId="corpodeltesto">
    <w:name w:val="corpo del testo"/>
    <w:basedOn w:val="Normale"/>
    <w:rsid w:val="00041087"/>
    <w:pPr>
      <w:spacing w:after="0" w:line="240" w:lineRule="auto"/>
    </w:pPr>
    <w:rPr>
      <w:rFonts w:ascii="Arial" w:eastAsia="Times New Roman" w:hAnsi="Arial" w:cs="Times New Roman"/>
      <w:sz w:val="18"/>
      <w:szCs w:val="20"/>
      <w:lang w:eastAsia="it-IT"/>
    </w:rPr>
  </w:style>
  <w:style w:type="character" w:styleId="Enfasigrassetto">
    <w:name w:val="Strong"/>
    <w:basedOn w:val="Carpredefinitoparagrafo"/>
    <w:uiPriority w:val="22"/>
    <w:qFormat/>
    <w:rsid w:val="009306AD"/>
    <w:rPr>
      <w:b/>
      <w:bCs/>
    </w:rPr>
  </w:style>
  <w:style w:type="paragraph" w:styleId="NormaleWeb">
    <w:name w:val="Normal (Web)"/>
    <w:basedOn w:val="Normale"/>
    <w:uiPriority w:val="99"/>
    <w:semiHidden/>
    <w:unhideWhenUsed/>
    <w:rsid w:val="001456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Titolo1"/>
    <w:next w:val="Normale"/>
    <w:link w:val="CitazioneintensaCarattere"/>
    <w:autoRedefine/>
    <w:uiPriority w:val="30"/>
    <w:qFormat/>
    <w:rsid w:val="00BB1F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B1F8C"/>
    <w:rPr>
      <w:rFonts w:asciiTheme="majorHAnsi" w:eastAsiaTheme="majorEastAsia" w:hAnsiTheme="majorHAnsi" w:cstheme="majorBidi"/>
      <w:i/>
      <w:iCs/>
      <w:color w:val="4472C4" w:themeColor="accent1"/>
      <w:sz w:val="32"/>
      <w:szCs w:val="32"/>
    </w:rPr>
  </w:style>
  <w:style w:type="character" w:customStyle="1" w:styleId="Titolo1Carattere">
    <w:name w:val="Titolo 1 Carattere"/>
    <w:basedOn w:val="Carpredefinitoparagrafo"/>
    <w:link w:val="Titolo1"/>
    <w:uiPriority w:val="9"/>
    <w:rsid w:val="00BB1F8C"/>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Carpredefinitoparagrafo"/>
    <w:rsid w:val="00D41131"/>
  </w:style>
  <w:style w:type="character" w:customStyle="1" w:styleId="field">
    <w:name w:val="field"/>
    <w:basedOn w:val="Carpredefinitoparagrafo"/>
    <w:rsid w:val="00B35B08"/>
  </w:style>
  <w:style w:type="character" w:customStyle="1" w:styleId="xmarkedcontent">
    <w:name w:val="x_markedcontent"/>
    <w:basedOn w:val="Carpredefinitoparagrafo"/>
    <w:rsid w:val="00E8620E"/>
  </w:style>
  <w:style w:type="character" w:customStyle="1" w:styleId="cf01">
    <w:name w:val="cf01"/>
    <w:basedOn w:val="Carpredefinitoparagrafo"/>
    <w:rsid w:val="00925156"/>
    <w:rPr>
      <w:rFonts w:ascii="Segoe UI" w:hAnsi="Segoe UI" w:cs="Segoe UI" w:hint="default"/>
      <w:b/>
      <w:bCs/>
      <w:sz w:val="18"/>
      <w:szCs w:val="18"/>
    </w:rPr>
  </w:style>
  <w:style w:type="character" w:customStyle="1" w:styleId="cf11">
    <w:name w:val="cf11"/>
    <w:basedOn w:val="Carpredefinitoparagrafo"/>
    <w:rsid w:val="00925156"/>
    <w:rPr>
      <w:rFonts w:ascii="Segoe UI" w:hAnsi="Segoe UI" w:cs="Segoe UI" w:hint="default"/>
      <w:sz w:val="18"/>
      <w:szCs w:val="18"/>
    </w:rPr>
  </w:style>
  <w:style w:type="paragraph" w:styleId="Corpotesto">
    <w:name w:val="Body Text"/>
    <w:basedOn w:val="Normale"/>
    <w:link w:val="CorpotestoCarattere"/>
    <w:uiPriority w:val="1"/>
    <w:qFormat/>
    <w:rsid w:val="00E13452"/>
    <w:pPr>
      <w:widowControl w:val="0"/>
      <w:autoSpaceDE w:val="0"/>
      <w:autoSpaceDN w:val="0"/>
      <w:spacing w:after="0" w:line="240" w:lineRule="auto"/>
      <w:ind w:left="112" w:firstLine="283"/>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134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59042">
      <w:bodyDiv w:val="1"/>
      <w:marLeft w:val="0"/>
      <w:marRight w:val="0"/>
      <w:marTop w:val="0"/>
      <w:marBottom w:val="0"/>
      <w:divBdr>
        <w:top w:val="none" w:sz="0" w:space="0" w:color="auto"/>
        <w:left w:val="none" w:sz="0" w:space="0" w:color="auto"/>
        <w:bottom w:val="none" w:sz="0" w:space="0" w:color="auto"/>
        <w:right w:val="none" w:sz="0" w:space="0" w:color="auto"/>
      </w:divBdr>
      <w:divsChild>
        <w:div w:id="1194271206">
          <w:marLeft w:val="0"/>
          <w:marRight w:val="0"/>
          <w:marTop w:val="0"/>
          <w:marBottom w:val="0"/>
          <w:divBdr>
            <w:top w:val="none" w:sz="0" w:space="0" w:color="auto"/>
            <w:left w:val="none" w:sz="0" w:space="0" w:color="auto"/>
            <w:bottom w:val="none" w:sz="0" w:space="0" w:color="auto"/>
            <w:right w:val="none" w:sz="0" w:space="0" w:color="auto"/>
          </w:divBdr>
        </w:div>
      </w:divsChild>
    </w:div>
    <w:div w:id="428627209">
      <w:bodyDiv w:val="1"/>
      <w:marLeft w:val="0"/>
      <w:marRight w:val="0"/>
      <w:marTop w:val="0"/>
      <w:marBottom w:val="0"/>
      <w:divBdr>
        <w:top w:val="none" w:sz="0" w:space="0" w:color="auto"/>
        <w:left w:val="none" w:sz="0" w:space="0" w:color="auto"/>
        <w:bottom w:val="none" w:sz="0" w:space="0" w:color="auto"/>
        <w:right w:val="none" w:sz="0" w:space="0" w:color="auto"/>
      </w:divBdr>
    </w:div>
    <w:div w:id="1030495075">
      <w:bodyDiv w:val="1"/>
      <w:marLeft w:val="0"/>
      <w:marRight w:val="0"/>
      <w:marTop w:val="0"/>
      <w:marBottom w:val="0"/>
      <w:divBdr>
        <w:top w:val="none" w:sz="0" w:space="0" w:color="auto"/>
        <w:left w:val="none" w:sz="0" w:space="0" w:color="auto"/>
        <w:bottom w:val="none" w:sz="0" w:space="0" w:color="auto"/>
        <w:right w:val="none" w:sz="0" w:space="0" w:color="auto"/>
      </w:divBdr>
      <w:divsChild>
        <w:div w:id="363865289">
          <w:marLeft w:val="0"/>
          <w:marRight w:val="0"/>
          <w:marTop w:val="0"/>
          <w:marBottom w:val="0"/>
          <w:divBdr>
            <w:top w:val="none" w:sz="0" w:space="0" w:color="auto"/>
            <w:left w:val="none" w:sz="0" w:space="0" w:color="auto"/>
            <w:bottom w:val="none" w:sz="0" w:space="0" w:color="auto"/>
            <w:right w:val="none" w:sz="0" w:space="0" w:color="auto"/>
          </w:divBdr>
        </w:div>
      </w:divsChild>
    </w:div>
    <w:div w:id="1059212229">
      <w:bodyDiv w:val="1"/>
      <w:marLeft w:val="0"/>
      <w:marRight w:val="0"/>
      <w:marTop w:val="0"/>
      <w:marBottom w:val="0"/>
      <w:divBdr>
        <w:top w:val="none" w:sz="0" w:space="0" w:color="auto"/>
        <w:left w:val="none" w:sz="0" w:space="0" w:color="auto"/>
        <w:bottom w:val="none" w:sz="0" w:space="0" w:color="auto"/>
        <w:right w:val="none" w:sz="0" w:space="0" w:color="auto"/>
      </w:divBdr>
    </w:div>
    <w:div w:id="1466388773">
      <w:bodyDiv w:val="1"/>
      <w:marLeft w:val="0"/>
      <w:marRight w:val="0"/>
      <w:marTop w:val="0"/>
      <w:marBottom w:val="0"/>
      <w:divBdr>
        <w:top w:val="none" w:sz="0" w:space="0" w:color="auto"/>
        <w:left w:val="none" w:sz="0" w:space="0" w:color="auto"/>
        <w:bottom w:val="none" w:sz="0" w:space="0" w:color="auto"/>
        <w:right w:val="none" w:sz="0" w:space="0" w:color="auto"/>
      </w:divBdr>
      <w:divsChild>
        <w:div w:id="1142625454">
          <w:marLeft w:val="0"/>
          <w:marRight w:val="0"/>
          <w:marTop w:val="0"/>
          <w:marBottom w:val="0"/>
          <w:divBdr>
            <w:top w:val="none" w:sz="0" w:space="0" w:color="auto"/>
            <w:left w:val="none" w:sz="0" w:space="0" w:color="auto"/>
            <w:bottom w:val="none" w:sz="0" w:space="0" w:color="auto"/>
            <w:right w:val="none" w:sz="0" w:space="0" w:color="auto"/>
          </w:divBdr>
        </w:div>
      </w:divsChild>
    </w:div>
    <w:div w:id="1470392195">
      <w:bodyDiv w:val="1"/>
      <w:marLeft w:val="0"/>
      <w:marRight w:val="0"/>
      <w:marTop w:val="0"/>
      <w:marBottom w:val="0"/>
      <w:divBdr>
        <w:top w:val="none" w:sz="0" w:space="0" w:color="auto"/>
        <w:left w:val="none" w:sz="0" w:space="0" w:color="auto"/>
        <w:bottom w:val="none" w:sz="0" w:space="0" w:color="auto"/>
        <w:right w:val="none" w:sz="0" w:space="0" w:color="auto"/>
      </w:divBdr>
    </w:div>
    <w:div w:id="1575124096">
      <w:bodyDiv w:val="1"/>
      <w:marLeft w:val="0"/>
      <w:marRight w:val="0"/>
      <w:marTop w:val="0"/>
      <w:marBottom w:val="0"/>
      <w:divBdr>
        <w:top w:val="none" w:sz="0" w:space="0" w:color="auto"/>
        <w:left w:val="none" w:sz="0" w:space="0" w:color="auto"/>
        <w:bottom w:val="none" w:sz="0" w:space="0" w:color="auto"/>
        <w:right w:val="none" w:sz="0" w:space="0" w:color="auto"/>
      </w:divBdr>
      <w:divsChild>
        <w:div w:id="2061200842">
          <w:marLeft w:val="0"/>
          <w:marRight w:val="0"/>
          <w:marTop w:val="0"/>
          <w:marBottom w:val="0"/>
          <w:divBdr>
            <w:top w:val="none" w:sz="0" w:space="0" w:color="auto"/>
            <w:left w:val="none" w:sz="0" w:space="0" w:color="auto"/>
            <w:bottom w:val="none" w:sz="0" w:space="0" w:color="auto"/>
            <w:right w:val="none" w:sz="0" w:space="0" w:color="auto"/>
          </w:divBdr>
          <w:divsChild>
            <w:div w:id="378668482">
              <w:marLeft w:val="0"/>
              <w:marRight w:val="0"/>
              <w:marTop w:val="0"/>
              <w:marBottom w:val="0"/>
              <w:divBdr>
                <w:top w:val="none" w:sz="0" w:space="0" w:color="auto"/>
                <w:left w:val="none" w:sz="0" w:space="0" w:color="auto"/>
                <w:bottom w:val="none" w:sz="0" w:space="0" w:color="auto"/>
                <w:right w:val="none" w:sz="0" w:space="0" w:color="auto"/>
              </w:divBdr>
            </w:div>
          </w:divsChild>
        </w:div>
        <w:div w:id="244268869">
          <w:marLeft w:val="0"/>
          <w:marRight w:val="0"/>
          <w:marTop w:val="0"/>
          <w:marBottom w:val="0"/>
          <w:divBdr>
            <w:top w:val="none" w:sz="0" w:space="0" w:color="auto"/>
            <w:left w:val="none" w:sz="0" w:space="0" w:color="auto"/>
            <w:bottom w:val="none" w:sz="0" w:space="0" w:color="auto"/>
            <w:right w:val="none" w:sz="0" w:space="0" w:color="auto"/>
          </w:divBdr>
        </w:div>
      </w:divsChild>
    </w:div>
    <w:div w:id="1585604208">
      <w:bodyDiv w:val="1"/>
      <w:marLeft w:val="0"/>
      <w:marRight w:val="0"/>
      <w:marTop w:val="0"/>
      <w:marBottom w:val="0"/>
      <w:divBdr>
        <w:top w:val="none" w:sz="0" w:space="0" w:color="auto"/>
        <w:left w:val="none" w:sz="0" w:space="0" w:color="auto"/>
        <w:bottom w:val="none" w:sz="0" w:space="0" w:color="auto"/>
        <w:right w:val="none" w:sz="0" w:space="0" w:color="auto"/>
      </w:divBdr>
    </w:div>
    <w:div w:id="2096123487">
      <w:bodyDiv w:val="1"/>
      <w:marLeft w:val="0"/>
      <w:marRight w:val="0"/>
      <w:marTop w:val="0"/>
      <w:marBottom w:val="0"/>
      <w:divBdr>
        <w:top w:val="none" w:sz="0" w:space="0" w:color="auto"/>
        <w:left w:val="none" w:sz="0" w:space="0" w:color="auto"/>
        <w:bottom w:val="none" w:sz="0" w:space="0" w:color="auto"/>
        <w:right w:val="none" w:sz="0" w:space="0" w:color="auto"/>
      </w:divBdr>
      <w:divsChild>
        <w:div w:id="1107428485">
          <w:marLeft w:val="0"/>
          <w:marRight w:val="0"/>
          <w:marTop w:val="0"/>
          <w:marBottom w:val="0"/>
          <w:divBdr>
            <w:top w:val="none" w:sz="0" w:space="0" w:color="auto"/>
            <w:left w:val="none" w:sz="0" w:space="0" w:color="auto"/>
            <w:bottom w:val="none" w:sz="0" w:space="0" w:color="auto"/>
            <w:right w:val="none" w:sz="0" w:space="0" w:color="auto"/>
          </w:divBdr>
        </w:div>
      </w:divsChild>
    </w:div>
    <w:div w:id="21370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tazionedeirequisiti@economia.unig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FEF9-4C66-4241-BB0F-89F9961B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11062</Words>
  <Characters>63054</Characters>
  <Application>Microsoft Office Word</Application>
  <DocSecurity>0</DocSecurity>
  <Lines>525</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Sitzia</dc:creator>
  <cp:keywords/>
  <dc:description/>
  <cp:lastModifiedBy> </cp:lastModifiedBy>
  <cp:revision>2</cp:revision>
  <cp:lastPrinted>2022-05-27T07:47:00Z</cp:lastPrinted>
  <dcterms:created xsi:type="dcterms:W3CDTF">2024-05-01T20:58:00Z</dcterms:created>
  <dcterms:modified xsi:type="dcterms:W3CDTF">2024-05-01T20:58:00Z</dcterms:modified>
</cp:coreProperties>
</file>