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C7E6" w14:textId="77777777" w:rsidR="00E51AFD" w:rsidRDefault="00E51AFD" w:rsidP="001E4C17">
      <w:pPr>
        <w:pStyle w:val="Normale1"/>
        <w:jc w:val="center"/>
        <w:rPr>
          <w:rFonts w:ascii="Fira Sans" w:hAnsi="Fira Sans"/>
          <w:b/>
          <w:sz w:val="20"/>
          <w:szCs w:val="20"/>
          <w:lang w:eastAsia="en-US"/>
        </w:rPr>
      </w:pPr>
    </w:p>
    <w:p w14:paraId="28C1AAEB" w14:textId="77777777" w:rsidR="00E51AFD" w:rsidRPr="00B65730" w:rsidRDefault="00E51AFD" w:rsidP="001E4C17">
      <w:pPr>
        <w:pStyle w:val="Normale1"/>
        <w:jc w:val="center"/>
        <w:rPr>
          <w:rFonts w:ascii="Fira Sans" w:hAnsi="Fira Sans"/>
          <w:b/>
          <w:sz w:val="20"/>
          <w:szCs w:val="20"/>
          <w:lang w:eastAsia="en-US"/>
        </w:rPr>
      </w:pPr>
    </w:p>
    <w:p w14:paraId="5DEF1F28" w14:textId="77777777" w:rsidR="006F45C9" w:rsidRPr="006F45C9" w:rsidRDefault="006F45C9" w:rsidP="006F45C9">
      <w:pPr>
        <w:spacing w:line="280" w:lineRule="atLeast"/>
        <w:jc w:val="center"/>
        <w:rPr>
          <w:rFonts w:ascii="Fira Sans" w:eastAsia="Century Gothic" w:hAnsi="Fira Sans" w:cs="Century Gothic"/>
          <w:color w:val="000000" w:themeColor="text1"/>
          <w:sz w:val="24"/>
          <w:szCs w:val="24"/>
        </w:rPr>
      </w:pPr>
      <w:r w:rsidRPr="006F45C9">
        <w:rPr>
          <w:rFonts w:ascii="Fira Sans" w:eastAsia="Century Gothic" w:hAnsi="Fira Sans" w:cs="Century Gothic"/>
          <w:b/>
          <w:bCs/>
          <w:color w:val="000000" w:themeColor="text1"/>
          <w:sz w:val="24"/>
          <w:szCs w:val="24"/>
        </w:rPr>
        <w:t xml:space="preserve">CORSO DI LAUREA MAGISTRALE IN </w:t>
      </w:r>
    </w:p>
    <w:p w14:paraId="398B2423" w14:textId="77777777" w:rsidR="006F45C9" w:rsidRPr="006F45C9" w:rsidRDefault="006F45C9" w:rsidP="006F45C9">
      <w:pPr>
        <w:spacing w:line="280" w:lineRule="atLeast"/>
        <w:jc w:val="center"/>
        <w:rPr>
          <w:rFonts w:ascii="Fira Sans" w:eastAsia="Century Gothic" w:hAnsi="Fira Sans" w:cs="Century Gothic"/>
          <w:color w:val="000000" w:themeColor="text1"/>
          <w:sz w:val="24"/>
          <w:szCs w:val="24"/>
        </w:rPr>
      </w:pPr>
      <w:r w:rsidRPr="006F45C9">
        <w:rPr>
          <w:rFonts w:ascii="Fira Sans" w:eastAsia="Century Gothic" w:hAnsi="Fira Sans" w:cs="Century Gothic"/>
          <w:b/>
          <w:bCs/>
          <w:color w:val="000000" w:themeColor="text1"/>
          <w:sz w:val="24"/>
          <w:szCs w:val="24"/>
        </w:rPr>
        <w:t>ECONOMIA E MANAGEMENT MARITTIMO PORTUALE (EMMP)</w:t>
      </w:r>
    </w:p>
    <w:p w14:paraId="29F62E0E" w14:textId="77777777" w:rsidR="006F45C9" w:rsidRPr="006F45C9" w:rsidRDefault="006F45C9" w:rsidP="006F45C9">
      <w:pPr>
        <w:spacing w:line="280" w:lineRule="atLeast"/>
        <w:jc w:val="center"/>
        <w:rPr>
          <w:rFonts w:ascii="Fira Sans" w:eastAsia="Times New Roman" w:hAnsi="Fira Sans" w:cs="Times New Roman"/>
          <w:color w:val="000000" w:themeColor="text1"/>
          <w:sz w:val="24"/>
          <w:szCs w:val="24"/>
        </w:rPr>
      </w:pPr>
    </w:p>
    <w:p w14:paraId="645192AB" w14:textId="77777777" w:rsidR="006F45C9" w:rsidRPr="006F45C9" w:rsidRDefault="006F45C9" w:rsidP="006F45C9">
      <w:pPr>
        <w:spacing w:line="280" w:lineRule="atLeast"/>
        <w:jc w:val="center"/>
        <w:rPr>
          <w:rFonts w:ascii="Fira Sans" w:eastAsia="Century Gothic" w:hAnsi="Fira Sans" w:cs="Century Gothic"/>
          <w:color w:val="000000" w:themeColor="text1"/>
          <w:sz w:val="24"/>
          <w:szCs w:val="24"/>
        </w:rPr>
      </w:pPr>
      <w:r w:rsidRPr="006F45C9">
        <w:rPr>
          <w:rFonts w:ascii="Fira Sans" w:eastAsia="Century Gothic" w:hAnsi="Fira Sans" w:cs="Century Gothic"/>
          <w:b/>
          <w:bCs/>
          <w:color w:val="000000" w:themeColor="text1"/>
          <w:sz w:val="24"/>
          <w:szCs w:val="24"/>
        </w:rPr>
        <w:t>Dipartimento di Economia</w:t>
      </w:r>
    </w:p>
    <w:p w14:paraId="72B221C1" w14:textId="77777777" w:rsidR="001E4C17" w:rsidRPr="00B65730" w:rsidRDefault="001E4C17" w:rsidP="001E4C17">
      <w:pPr>
        <w:pStyle w:val="Normale1"/>
        <w:jc w:val="center"/>
        <w:rPr>
          <w:rFonts w:ascii="Fira Sans" w:hAnsi="Fira Sans"/>
          <w:smallCaps/>
          <w:sz w:val="20"/>
          <w:szCs w:val="20"/>
          <w:lang w:eastAsia="en-US"/>
        </w:rPr>
      </w:pPr>
    </w:p>
    <w:p w14:paraId="7D7CB697" w14:textId="6BC8A66E" w:rsidR="006F45C9" w:rsidRDefault="001E4C17" w:rsidP="006F45C9">
      <w:pPr>
        <w:pStyle w:val="Normale1"/>
        <w:jc w:val="center"/>
        <w:rPr>
          <w:rFonts w:ascii="Fira Sans" w:hAnsi="Fira Sans"/>
          <w:b/>
          <w:sz w:val="20"/>
          <w:szCs w:val="20"/>
          <w:lang w:eastAsia="en-US"/>
        </w:rPr>
      </w:pPr>
      <w:r w:rsidRPr="00B65730">
        <w:rPr>
          <w:rFonts w:ascii="Fira Sans" w:hAnsi="Fira Sans"/>
          <w:sz w:val="20"/>
          <w:szCs w:val="20"/>
          <w:lang w:eastAsia="en-US"/>
        </w:rPr>
        <w:t>Il presente documento (</w:t>
      </w:r>
      <w:r w:rsidRPr="00461EEE">
        <w:rPr>
          <w:rFonts w:ascii="Fira Sans" w:hAnsi="Fira Sans"/>
          <w:sz w:val="20"/>
          <w:szCs w:val="20"/>
          <w:lang w:eastAsia="en-US"/>
        </w:rPr>
        <w:t>denominazione documento: LM</w:t>
      </w:r>
      <w:r w:rsidR="008856BC" w:rsidRPr="00461EEE">
        <w:rPr>
          <w:rFonts w:ascii="Fira Sans" w:hAnsi="Fira Sans"/>
          <w:sz w:val="20"/>
          <w:szCs w:val="20"/>
          <w:lang w:eastAsia="en-US"/>
        </w:rPr>
        <w:t>_EMMP_</w:t>
      </w:r>
      <w:r w:rsidRPr="00461EEE">
        <w:rPr>
          <w:rFonts w:ascii="Fira Sans" w:hAnsi="Fira Sans"/>
          <w:sz w:val="20"/>
          <w:szCs w:val="20"/>
          <w:lang w:eastAsia="en-US"/>
        </w:rPr>
        <w:t>CdS_v1</w:t>
      </w:r>
      <w:r w:rsidRPr="00B65730">
        <w:rPr>
          <w:rFonts w:ascii="Fira Sans" w:hAnsi="Fira Sans"/>
          <w:sz w:val="20"/>
          <w:szCs w:val="20"/>
          <w:lang w:eastAsia="en-US"/>
        </w:rPr>
        <w:t>) è stato presentato, discusso e approvato nel CCS del</w:t>
      </w:r>
      <w:r w:rsidR="008856BC" w:rsidRPr="00B65730">
        <w:rPr>
          <w:rFonts w:ascii="Fira Sans" w:hAnsi="Fira Sans"/>
          <w:sz w:val="20"/>
          <w:szCs w:val="20"/>
          <w:lang w:eastAsia="en-US"/>
        </w:rPr>
        <w:t xml:space="preserve"> </w:t>
      </w:r>
      <w:r w:rsidR="00080AD0">
        <w:rPr>
          <w:rFonts w:ascii="Fira Sans" w:hAnsi="Fira Sans"/>
          <w:sz w:val="20"/>
          <w:szCs w:val="20"/>
          <w:lang w:eastAsia="en-US"/>
        </w:rPr>
        <w:t>5 ottobre 2022</w:t>
      </w:r>
    </w:p>
    <w:p w14:paraId="36C5D336" w14:textId="31D77FF6" w:rsidR="001E4C17" w:rsidRPr="00B65730" w:rsidRDefault="001E4C17" w:rsidP="001E4C17">
      <w:pPr>
        <w:pStyle w:val="Normale1"/>
        <w:jc w:val="both"/>
        <w:rPr>
          <w:rFonts w:ascii="Fira Sans" w:hAnsi="Fira Sans"/>
          <w:sz w:val="20"/>
          <w:szCs w:val="20"/>
          <w:lang w:eastAsia="en-US"/>
        </w:rPr>
      </w:pPr>
    </w:p>
    <w:p w14:paraId="5E44A03F" w14:textId="77777777" w:rsidR="001E4C17" w:rsidRPr="00B65730" w:rsidRDefault="001E4C17" w:rsidP="001E4C17">
      <w:pPr>
        <w:pStyle w:val="Normale1"/>
        <w:jc w:val="both"/>
        <w:rPr>
          <w:rFonts w:ascii="Fira Sans" w:hAnsi="Fira Sans"/>
          <w:sz w:val="20"/>
          <w:szCs w:val="20"/>
          <w:lang w:eastAsia="en-US"/>
        </w:rPr>
      </w:pPr>
    </w:p>
    <w:p w14:paraId="09C484BB" w14:textId="1FC1449B" w:rsidR="001E4C17" w:rsidRPr="00B65730" w:rsidRDefault="001E4C17" w:rsidP="001E4C17">
      <w:pPr>
        <w:pStyle w:val="Normale1"/>
        <w:jc w:val="both"/>
        <w:rPr>
          <w:rFonts w:ascii="Fira Sans" w:hAnsi="Fira Sans"/>
          <w:sz w:val="20"/>
          <w:szCs w:val="20"/>
          <w:lang w:eastAsia="en-US"/>
        </w:rPr>
      </w:pPr>
      <w:r w:rsidRPr="00B65730">
        <w:rPr>
          <w:rFonts w:ascii="Fira Sans" w:hAnsi="Fira Sans"/>
          <w:sz w:val="20"/>
          <w:szCs w:val="20"/>
          <w:lang w:eastAsia="en-US"/>
        </w:rPr>
        <w:t xml:space="preserve">La versione definitiva del documento (denominazione documento: </w:t>
      </w:r>
      <w:proofErr w:type="spellStart"/>
      <w:r w:rsidR="008856BC" w:rsidRPr="00B65730">
        <w:rPr>
          <w:rFonts w:ascii="Fira Sans" w:hAnsi="Fira Sans"/>
          <w:sz w:val="20"/>
          <w:szCs w:val="20"/>
          <w:lang w:eastAsia="en-US"/>
        </w:rPr>
        <w:t>LM_EMMP_CdS</w:t>
      </w:r>
      <w:r w:rsidRPr="00B65730">
        <w:rPr>
          <w:rFonts w:ascii="Fira Sans" w:hAnsi="Fira Sans"/>
          <w:sz w:val="20"/>
          <w:szCs w:val="20"/>
          <w:lang w:eastAsia="en-US"/>
        </w:rPr>
        <w:t>_rev_def</w:t>
      </w:r>
      <w:proofErr w:type="spellEnd"/>
      <w:r w:rsidRPr="00B65730">
        <w:rPr>
          <w:rFonts w:ascii="Fira Sans" w:hAnsi="Fira Sans"/>
          <w:sz w:val="20"/>
          <w:szCs w:val="20"/>
          <w:lang w:eastAsia="en-US"/>
        </w:rPr>
        <w:t xml:space="preserve">) con le modifiche apportate alla sezione 1 in seguito alla revisione effettuata dalla Commissione AQ di Scuola e dal PQA è stata approvata nel CCS del </w:t>
      </w:r>
      <w:r w:rsidRPr="00B65730">
        <w:rPr>
          <w:rFonts w:ascii="Fira Sans" w:hAnsi="Fira Sans"/>
          <w:sz w:val="20"/>
          <w:szCs w:val="20"/>
          <w:highlight w:val="yellow"/>
          <w:lang w:eastAsia="en-US"/>
        </w:rPr>
        <w:t>…</w:t>
      </w:r>
      <w:r w:rsidR="00461EEE">
        <w:rPr>
          <w:rFonts w:ascii="Fira Sans" w:hAnsi="Fira Sans"/>
          <w:sz w:val="20"/>
          <w:szCs w:val="20"/>
          <w:highlight w:val="yellow"/>
          <w:lang w:eastAsia="en-US"/>
        </w:rPr>
        <w:t>…………………</w:t>
      </w:r>
      <w:r w:rsidRPr="00B65730">
        <w:rPr>
          <w:rFonts w:ascii="Fira Sans" w:hAnsi="Fira Sans"/>
          <w:sz w:val="20"/>
          <w:szCs w:val="20"/>
          <w:highlight w:val="yellow"/>
          <w:lang w:eastAsia="en-US"/>
        </w:rPr>
        <w:t>..</w:t>
      </w:r>
      <w:r w:rsidRPr="00B65730">
        <w:rPr>
          <w:rFonts w:ascii="Fira Sans" w:hAnsi="Fira Sans"/>
          <w:sz w:val="20"/>
          <w:szCs w:val="20"/>
          <w:lang w:eastAsia="en-US"/>
        </w:rPr>
        <w:t xml:space="preserve"> </w:t>
      </w:r>
    </w:p>
    <w:p w14:paraId="5324A65D" w14:textId="77777777" w:rsidR="001E4C17" w:rsidRPr="00B65730" w:rsidRDefault="001E4C17" w:rsidP="001E4C17">
      <w:pPr>
        <w:pStyle w:val="Normale1"/>
        <w:jc w:val="both"/>
        <w:rPr>
          <w:rFonts w:ascii="Fira Sans" w:hAnsi="Fira Sans"/>
          <w:sz w:val="20"/>
          <w:szCs w:val="20"/>
          <w:lang w:eastAsia="en-US"/>
        </w:rPr>
      </w:pPr>
    </w:p>
    <w:p w14:paraId="400F32F9" w14:textId="77777777" w:rsidR="001E4C17" w:rsidRPr="00B65730" w:rsidRDefault="001E4C17" w:rsidP="001E4C17">
      <w:pPr>
        <w:pStyle w:val="Normale1"/>
        <w:jc w:val="center"/>
        <w:rPr>
          <w:rFonts w:ascii="Fira Sans" w:hAnsi="Fira Sans"/>
          <w:b/>
          <w:smallCaps/>
          <w:sz w:val="20"/>
          <w:szCs w:val="20"/>
          <w:lang w:eastAsia="en-US"/>
        </w:rPr>
      </w:pPr>
      <w:r w:rsidRPr="00B65730">
        <w:rPr>
          <w:rFonts w:ascii="Fira Sans" w:eastAsia="Calibri" w:hAnsi="Fira Sans"/>
          <w:b/>
          <w:bCs/>
          <w:smallCaps/>
          <w:sz w:val="20"/>
          <w:szCs w:val="20"/>
          <w:lang w:eastAsia="en-US"/>
        </w:rPr>
        <w:t>sezione 1 -</w:t>
      </w:r>
      <w:r w:rsidRPr="00B65730">
        <w:rPr>
          <w:rFonts w:ascii="Fira Sans" w:eastAsia="Calibri" w:hAnsi="Fira Sans"/>
          <w:bCs/>
          <w:smallCaps/>
          <w:sz w:val="20"/>
          <w:szCs w:val="20"/>
          <w:lang w:eastAsia="en-US"/>
        </w:rPr>
        <w:t xml:space="preserve"> </w:t>
      </w:r>
      <w:r w:rsidRPr="00B65730">
        <w:rPr>
          <w:rFonts w:ascii="Fira Sans" w:hAnsi="Fira Sans"/>
          <w:b/>
          <w:smallCaps/>
          <w:sz w:val="20"/>
          <w:szCs w:val="20"/>
          <w:lang w:eastAsia="en-US"/>
        </w:rPr>
        <w:t>Commento sintetico agli indicatori</w:t>
      </w:r>
    </w:p>
    <w:p w14:paraId="22235798" w14:textId="77777777" w:rsidR="001E4C17" w:rsidRDefault="001E4C17" w:rsidP="001E4C17">
      <w:pPr>
        <w:pStyle w:val="Normale1"/>
        <w:rPr>
          <w:rFonts w:ascii="Fira Sans" w:hAnsi="Fira Sans"/>
          <w:bCs/>
          <w:color w:val="4472C4" w:themeColor="accent1"/>
          <w:sz w:val="18"/>
          <w:szCs w:val="18"/>
          <w:lang w:eastAsia="en-US"/>
        </w:rPr>
      </w:pPr>
    </w:p>
    <w:tbl>
      <w:tblPr>
        <w:tblStyle w:val="Grigliatabella1"/>
        <w:tblW w:w="9640" w:type="dxa"/>
        <w:tblInd w:w="-147" w:type="dxa"/>
        <w:tblLook w:val="04A0" w:firstRow="1" w:lastRow="0" w:firstColumn="1" w:lastColumn="0" w:noHBand="0" w:noVBand="1"/>
      </w:tblPr>
      <w:tblGrid>
        <w:gridCol w:w="9640"/>
      </w:tblGrid>
      <w:tr w:rsidR="001E4C17" w:rsidRPr="001C7827" w14:paraId="3A20B7AA" w14:textId="77777777" w:rsidTr="00593835">
        <w:tc>
          <w:tcPr>
            <w:tcW w:w="9640" w:type="dxa"/>
            <w:shd w:val="clear" w:color="auto" w:fill="auto"/>
          </w:tcPr>
          <w:p w14:paraId="379CC733" w14:textId="77777777" w:rsidR="008856BC" w:rsidRPr="009D592E" w:rsidRDefault="008856BC" w:rsidP="008856BC">
            <w:pPr>
              <w:spacing w:after="120" w:line="240" w:lineRule="atLeast"/>
              <w:rPr>
                <w:rFonts w:ascii="Fira Sans" w:eastAsia="Century" w:hAnsi="Fira Sans" w:cs="Century"/>
                <w:szCs w:val="20"/>
              </w:rPr>
            </w:pPr>
            <w:r w:rsidRPr="009D592E">
              <w:rPr>
                <w:rFonts w:ascii="Fira Sans" w:eastAsia="Century" w:hAnsi="Fira Sans" w:cs="Century"/>
                <w:b/>
                <w:bCs/>
                <w:smallCaps/>
                <w:szCs w:val="20"/>
              </w:rPr>
              <w:t>Premessa:</w:t>
            </w:r>
          </w:p>
          <w:p w14:paraId="1492B55D" w14:textId="1B0127F1" w:rsidR="008856BC" w:rsidRPr="00326A8D" w:rsidRDefault="00326A8D" w:rsidP="008856BC">
            <w:pPr>
              <w:spacing w:line="240" w:lineRule="atLeast"/>
              <w:ind w:firstLine="284"/>
              <w:jc w:val="both"/>
              <w:rPr>
                <w:rFonts w:ascii="Fira Sans" w:eastAsia="Century" w:hAnsi="Fira Sans" w:cs="Century"/>
                <w:szCs w:val="20"/>
              </w:rPr>
            </w:pPr>
            <w:r w:rsidRPr="002438C2">
              <w:rPr>
                <w:rFonts w:ascii="Fira Sans" w:eastAsia="Century" w:hAnsi="Fira Sans" w:cs="Century"/>
                <w:szCs w:val="20"/>
              </w:rPr>
              <w:t>Trascorsi vent’anni dalla sua istituzione, i</w:t>
            </w:r>
            <w:r w:rsidR="008856BC" w:rsidRPr="002438C2">
              <w:rPr>
                <w:rFonts w:ascii="Fira Sans" w:eastAsia="Century" w:hAnsi="Fira Sans" w:cs="Century"/>
                <w:szCs w:val="20"/>
              </w:rPr>
              <w:t xml:space="preserve">l </w:t>
            </w:r>
            <w:r w:rsidR="00184FE0" w:rsidRPr="00326A8D">
              <w:rPr>
                <w:rFonts w:ascii="Fira Sans" w:eastAsia="Century" w:hAnsi="Fira Sans" w:cs="Century"/>
                <w:szCs w:val="20"/>
              </w:rPr>
              <w:t>C</w:t>
            </w:r>
            <w:r w:rsidR="00184FE0">
              <w:rPr>
                <w:rFonts w:ascii="Fira Sans" w:eastAsia="Century" w:hAnsi="Fira Sans" w:cs="Century"/>
                <w:szCs w:val="20"/>
              </w:rPr>
              <w:t>orso di studi</w:t>
            </w:r>
            <w:r w:rsidR="00961279">
              <w:rPr>
                <w:rFonts w:ascii="Fira Sans" w:eastAsia="Century" w:hAnsi="Fira Sans" w:cs="Century"/>
                <w:szCs w:val="20"/>
              </w:rPr>
              <w:t>o</w:t>
            </w:r>
            <w:r w:rsidR="00184FE0">
              <w:rPr>
                <w:rFonts w:ascii="Fira Sans" w:eastAsia="Century" w:hAnsi="Fira Sans" w:cs="Century"/>
                <w:szCs w:val="20"/>
              </w:rPr>
              <w:t xml:space="preserve"> (CdS)</w:t>
            </w:r>
            <w:r w:rsidR="00184FE0" w:rsidRPr="00326A8D">
              <w:rPr>
                <w:rFonts w:ascii="Fira Sans" w:eastAsia="Century" w:hAnsi="Fira Sans" w:cs="Century"/>
                <w:szCs w:val="20"/>
              </w:rPr>
              <w:t xml:space="preserve"> </w:t>
            </w:r>
            <w:r w:rsidR="00E3276C" w:rsidRPr="00326A8D">
              <w:rPr>
                <w:rFonts w:ascii="Fira Sans" w:eastAsia="Century" w:hAnsi="Fira Sans" w:cs="Century"/>
                <w:szCs w:val="20"/>
              </w:rPr>
              <w:t xml:space="preserve">magistrale </w:t>
            </w:r>
            <w:r w:rsidR="008856BC" w:rsidRPr="00326A8D">
              <w:rPr>
                <w:rFonts w:ascii="Fira Sans" w:eastAsia="Century" w:hAnsi="Fira Sans" w:cs="Century"/>
                <w:szCs w:val="20"/>
              </w:rPr>
              <w:t xml:space="preserve">in Economia e </w:t>
            </w:r>
            <w:r w:rsidR="008856BC" w:rsidRPr="00326A8D">
              <w:rPr>
                <w:rFonts w:ascii="Fira Sans" w:eastAsia="Century" w:hAnsi="Fira Sans" w:cs="Century"/>
                <w:caps/>
                <w:szCs w:val="20"/>
              </w:rPr>
              <w:t>M</w:t>
            </w:r>
            <w:r w:rsidR="008856BC" w:rsidRPr="00326A8D">
              <w:rPr>
                <w:rFonts w:ascii="Fira Sans" w:eastAsia="Century" w:hAnsi="Fira Sans" w:cs="Century"/>
                <w:szCs w:val="20"/>
              </w:rPr>
              <w:t xml:space="preserve">anagement </w:t>
            </w:r>
            <w:r w:rsidR="008856BC" w:rsidRPr="00326A8D">
              <w:rPr>
                <w:rFonts w:ascii="Fira Sans" w:eastAsia="Century" w:hAnsi="Fira Sans" w:cs="Century"/>
                <w:caps/>
                <w:szCs w:val="20"/>
              </w:rPr>
              <w:t>M</w:t>
            </w:r>
            <w:r w:rsidR="008856BC" w:rsidRPr="00326A8D">
              <w:rPr>
                <w:rFonts w:ascii="Fira Sans" w:eastAsia="Century" w:hAnsi="Fira Sans" w:cs="Century"/>
                <w:szCs w:val="20"/>
              </w:rPr>
              <w:t xml:space="preserve">arittimo e </w:t>
            </w:r>
            <w:r w:rsidR="008856BC" w:rsidRPr="00326A8D">
              <w:rPr>
                <w:rFonts w:ascii="Fira Sans" w:eastAsia="Century" w:hAnsi="Fira Sans" w:cs="Century"/>
                <w:caps/>
                <w:szCs w:val="20"/>
              </w:rPr>
              <w:t>P</w:t>
            </w:r>
            <w:r w:rsidR="008856BC" w:rsidRPr="00326A8D">
              <w:rPr>
                <w:rFonts w:ascii="Fira Sans" w:eastAsia="Century" w:hAnsi="Fira Sans" w:cs="Century"/>
                <w:szCs w:val="20"/>
              </w:rPr>
              <w:t xml:space="preserve">ortuale (EMMP) </w:t>
            </w:r>
            <w:r w:rsidRPr="00326A8D">
              <w:rPr>
                <w:rFonts w:ascii="Fira Sans" w:eastAsia="Century" w:hAnsi="Fira Sans" w:cs="Century"/>
                <w:szCs w:val="20"/>
              </w:rPr>
              <w:t>mantiene la sua</w:t>
            </w:r>
            <w:r w:rsidR="008856BC" w:rsidRPr="00326A8D">
              <w:rPr>
                <w:rFonts w:ascii="Fira Sans" w:eastAsia="Century" w:hAnsi="Fira Sans" w:cs="Century"/>
                <w:szCs w:val="20"/>
              </w:rPr>
              <w:t xml:space="preserve"> specificità dovut</w:t>
            </w:r>
            <w:r w:rsidRPr="00326A8D">
              <w:rPr>
                <w:rFonts w:ascii="Fira Sans" w:eastAsia="Century" w:hAnsi="Fira Sans" w:cs="Century"/>
                <w:szCs w:val="20"/>
              </w:rPr>
              <w:t>a</w:t>
            </w:r>
            <w:r w:rsidR="008856BC" w:rsidRPr="00326A8D">
              <w:rPr>
                <w:rFonts w:ascii="Fira Sans" w:eastAsia="Century" w:hAnsi="Fira Sans" w:cs="Century"/>
                <w:szCs w:val="20"/>
              </w:rPr>
              <w:t xml:space="preserve"> all’elevato grado di specializzazione </w:t>
            </w:r>
            <w:r w:rsidR="00740F8F" w:rsidRPr="00326A8D">
              <w:rPr>
                <w:rFonts w:ascii="Fira Sans" w:eastAsia="Century" w:hAnsi="Fira Sans" w:cs="Century"/>
                <w:szCs w:val="20"/>
              </w:rPr>
              <w:t xml:space="preserve">interdisciplinare </w:t>
            </w:r>
            <w:r w:rsidR="008856BC" w:rsidRPr="00326A8D">
              <w:rPr>
                <w:rFonts w:ascii="Fira Sans" w:eastAsia="Century" w:hAnsi="Fira Sans" w:cs="Century"/>
                <w:szCs w:val="20"/>
              </w:rPr>
              <w:t xml:space="preserve">mirato al settore dello </w:t>
            </w:r>
            <w:r w:rsidR="008856BC" w:rsidRPr="00326A8D">
              <w:rPr>
                <w:rFonts w:ascii="Fira Sans" w:eastAsia="Century" w:hAnsi="Fira Sans" w:cs="Century"/>
                <w:i/>
                <w:iCs/>
                <w:szCs w:val="20"/>
              </w:rPr>
              <w:t>shipping</w:t>
            </w:r>
            <w:r w:rsidR="008856BC" w:rsidRPr="00326A8D">
              <w:rPr>
                <w:rFonts w:ascii="Fira Sans" w:eastAsia="Century" w:hAnsi="Fira Sans" w:cs="Century"/>
                <w:szCs w:val="20"/>
              </w:rPr>
              <w:t xml:space="preserve"> e del trasporto marittimo di merci e di persone, tali da differenziarsi in modo sostanziale dagli altri CdS della medesima classe nell’Ateneo</w:t>
            </w:r>
            <w:r w:rsidR="00740F8F" w:rsidRPr="00326A8D">
              <w:rPr>
                <w:rFonts w:ascii="Fira Sans" w:eastAsia="Century" w:hAnsi="Fira Sans" w:cs="Century"/>
                <w:szCs w:val="20"/>
              </w:rPr>
              <w:t xml:space="preserve"> e</w:t>
            </w:r>
            <w:r w:rsidR="008856BC" w:rsidRPr="00326A8D">
              <w:rPr>
                <w:rFonts w:ascii="Fira Sans" w:eastAsia="Century" w:hAnsi="Fira Sans" w:cs="Century"/>
                <w:szCs w:val="20"/>
              </w:rPr>
              <w:t xml:space="preserve"> nell’area geografica </w:t>
            </w:r>
            <w:r w:rsidR="00740F8F" w:rsidRPr="00326A8D">
              <w:rPr>
                <w:rFonts w:ascii="Fira Sans" w:eastAsia="Century" w:hAnsi="Fira Sans" w:cs="Century"/>
                <w:szCs w:val="20"/>
              </w:rPr>
              <w:t>del Nord-Ovest</w:t>
            </w:r>
            <w:r w:rsidR="008856BC" w:rsidRPr="00326A8D">
              <w:rPr>
                <w:rFonts w:ascii="Fira Sans" w:eastAsia="Century" w:hAnsi="Fira Sans" w:cs="Century"/>
                <w:szCs w:val="20"/>
              </w:rPr>
              <w:t xml:space="preserve"> per cui i confronti tra i diversi dati aggregati non </w:t>
            </w:r>
            <w:r w:rsidR="00E3276C" w:rsidRPr="00326A8D">
              <w:rPr>
                <w:rFonts w:ascii="Fira Sans" w:eastAsia="Century" w:hAnsi="Fira Sans" w:cs="Century"/>
                <w:szCs w:val="20"/>
              </w:rPr>
              <w:t>risultano particolarmente</w:t>
            </w:r>
            <w:r w:rsidR="008856BC" w:rsidRPr="00326A8D">
              <w:rPr>
                <w:rFonts w:ascii="Fira Sans" w:eastAsia="Century" w:hAnsi="Fira Sans" w:cs="Century"/>
                <w:szCs w:val="20"/>
              </w:rPr>
              <w:t xml:space="preserve"> significativi. </w:t>
            </w:r>
          </w:p>
          <w:p w14:paraId="5B446F59" w14:textId="0E4F1DCA" w:rsidR="008856BC" w:rsidRPr="00326A8D" w:rsidRDefault="008856BC" w:rsidP="008856BC">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Tanto premesso</w:t>
            </w:r>
            <w:r w:rsidR="00740F8F" w:rsidRPr="00326A8D">
              <w:rPr>
                <w:rFonts w:ascii="Fira Sans" w:eastAsia="Century" w:hAnsi="Fira Sans" w:cs="Century"/>
                <w:szCs w:val="20"/>
              </w:rPr>
              <w:t>,</w:t>
            </w:r>
            <w:r w:rsidRPr="00326A8D">
              <w:rPr>
                <w:rFonts w:ascii="Fira Sans" w:eastAsia="Century" w:hAnsi="Fira Sans" w:cs="Century"/>
                <w:szCs w:val="20"/>
              </w:rPr>
              <w:t xml:space="preserve"> si precisa che i dati analizzati e commentati in questo documento sono aggiornati alla data del </w:t>
            </w:r>
            <w:r w:rsidR="00DD3E70" w:rsidRPr="00326A8D">
              <w:rPr>
                <w:rFonts w:ascii="Fira Sans" w:eastAsia="Century" w:hAnsi="Fira Sans" w:cs="Century"/>
                <w:szCs w:val="20"/>
              </w:rPr>
              <w:t>2</w:t>
            </w:r>
            <w:r w:rsidR="00740F8F" w:rsidRPr="00326A8D">
              <w:rPr>
                <w:rFonts w:ascii="Fira Sans" w:eastAsia="Century" w:hAnsi="Fira Sans" w:cs="Century"/>
                <w:szCs w:val="20"/>
              </w:rPr>
              <w:t xml:space="preserve"> luglio </w:t>
            </w:r>
            <w:r w:rsidR="00DD3E70" w:rsidRPr="00326A8D">
              <w:rPr>
                <w:rFonts w:ascii="Fira Sans" w:eastAsia="Century" w:hAnsi="Fira Sans" w:cs="Century"/>
                <w:szCs w:val="20"/>
              </w:rPr>
              <w:t>2022</w:t>
            </w:r>
            <w:r w:rsidRPr="00326A8D">
              <w:rPr>
                <w:rFonts w:ascii="Fira Sans" w:eastAsia="Century" w:hAnsi="Fira Sans" w:cs="Century"/>
                <w:szCs w:val="20"/>
              </w:rPr>
              <w:t>.</w:t>
            </w:r>
          </w:p>
          <w:p w14:paraId="21E72C97" w14:textId="6525C050" w:rsidR="009D592E" w:rsidRPr="00326A8D" w:rsidRDefault="008856BC" w:rsidP="008856BC">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 xml:space="preserve">Riguardo alla scelta degli indicatori, analizzati attentamente tutti i dati </w:t>
            </w:r>
            <w:r w:rsidR="009D592E" w:rsidRPr="00326A8D">
              <w:rPr>
                <w:rFonts w:ascii="Fira Sans" w:eastAsia="Century" w:hAnsi="Fira Sans" w:cs="Century"/>
                <w:szCs w:val="20"/>
              </w:rPr>
              <w:t xml:space="preserve">a </w:t>
            </w:r>
            <w:r w:rsidR="009D592E" w:rsidRPr="00184FE0">
              <w:rPr>
                <w:rFonts w:ascii="Fira Sans" w:eastAsia="Century" w:hAnsi="Fira Sans" w:cs="Century"/>
                <w:szCs w:val="20"/>
              </w:rPr>
              <w:t>disposizione</w:t>
            </w:r>
            <w:r w:rsidRPr="00184FE0">
              <w:rPr>
                <w:rFonts w:ascii="Fira Sans" w:eastAsia="Century" w:hAnsi="Fira Sans" w:cs="Century"/>
                <w:szCs w:val="20"/>
              </w:rPr>
              <w:t xml:space="preserve">, </w:t>
            </w:r>
            <w:r w:rsidR="00184FE0" w:rsidRPr="00184FE0">
              <w:rPr>
                <w:rFonts w:ascii="Fira Sans" w:eastAsia="Century" w:hAnsi="Fira Sans" w:cs="Century"/>
                <w:szCs w:val="20"/>
              </w:rPr>
              <w:t>oltre al s</w:t>
            </w:r>
            <w:r w:rsidR="00184FE0" w:rsidRPr="00DD4BB1">
              <w:rPr>
                <w:rFonts w:ascii="Fira Sans" w:eastAsiaTheme="minorHAnsi" w:hAnsi="Fira Sans" w:cs="FiraSans,Italic"/>
                <w:szCs w:val="20"/>
                <w:lang w:eastAsia="en-US"/>
              </w:rPr>
              <w:t xml:space="preserve">et minimo definito dall’ANVUR per l’individuazione dei CdS critici </w:t>
            </w:r>
            <w:r w:rsidR="0044142A">
              <w:rPr>
                <w:rFonts w:ascii="Fira Sans" w:eastAsiaTheme="minorHAnsi" w:hAnsi="Fira Sans" w:cs="FiraSans,Italic"/>
                <w:szCs w:val="20"/>
                <w:lang w:eastAsia="en-US"/>
              </w:rPr>
              <w:t xml:space="preserve">(evidenziati con sottolineatura) </w:t>
            </w:r>
            <w:r w:rsidR="00184FE0" w:rsidRPr="00DD4BB1">
              <w:rPr>
                <w:rFonts w:ascii="Fira Sans" w:eastAsiaTheme="minorHAnsi" w:hAnsi="Fira Sans" w:cs="FiraSans,Italic"/>
                <w:szCs w:val="20"/>
                <w:lang w:eastAsia="en-US"/>
              </w:rPr>
              <w:t>e agli indicatori aggiuntivi individuati dal Nucleo di valutazione dell’Ateneo di obbligatoria analisi in base alle Linee guida per la redazione del monitoraggio annuale del Corso di studio del Presidio per la qualità di Ateneo del 10 maggio 2022, il Consiglio del Corso di studi (CCS) EMMP ha</w:t>
            </w:r>
            <w:r w:rsidRPr="00184FE0">
              <w:rPr>
                <w:rFonts w:ascii="Fira Sans" w:eastAsia="Century" w:hAnsi="Fira Sans" w:cs="Century"/>
                <w:szCs w:val="20"/>
              </w:rPr>
              <w:t xml:space="preserve"> </w:t>
            </w:r>
            <w:r w:rsidRPr="00326A8D">
              <w:rPr>
                <w:rFonts w:ascii="Fira Sans" w:eastAsia="Century" w:hAnsi="Fira Sans" w:cs="Century"/>
                <w:szCs w:val="20"/>
              </w:rPr>
              <w:t xml:space="preserve">ritenuto opportuno confermare l’esame degli indicatori presi in considerazione nella SMA </w:t>
            </w:r>
            <w:r w:rsidR="00DD3E70" w:rsidRPr="00326A8D">
              <w:rPr>
                <w:rFonts w:ascii="Fira Sans" w:eastAsia="Century" w:hAnsi="Fira Sans" w:cs="Century"/>
                <w:szCs w:val="20"/>
              </w:rPr>
              <w:t xml:space="preserve">2021 </w:t>
            </w:r>
            <w:r w:rsidRPr="00326A8D">
              <w:rPr>
                <w:rFonts w:ascii="Fira Sans" w:eastAsia="Century" w:hAnsi="Fira Sans" w:cs="Century"/>
                <w:szCs w:val="20"/>
              </w:rPr>
              <w:t xml:space="preserve">in modo da individuare i punti di miglioramento e criticità rispetto alla situazione precedente. </w:t>
            </w:r>
          </w:p>
          <w:p w14:paraId="6B709CDE" w14:textId="3E91DB04" w:rsidR="008856BC" w:rsidRPr="00326A8D" w:rsidRDefault="009D592E" w:rsidP="008856BC">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L’</w:t>
            </w:r>
            <w:r w:rsidR="008856BC" w:rsidRPr="00326A8D">
              <w:rPr>
                <w:rFonts w:ascii="Fira Sans" w:eastAsia="Century" w:hAnsi="Fira Sans" w:cs="Century"/>
                <w:szCs w:val="20"/>
              </w:rPr>
              <w:t xml:space="preserve">analisi </w:t>
            </w:r>
            <w:r w:rsidRPr="00326A8D">
              <w:rPr>
                <w:rFonts w:ascii="Fira Sans" w:eastAsia="Century" w:hAnsi="Fira Sans" w:cs="Century"/>
                <w:szCs w:val="20"/>
              </w:rPr>
              <w:t xml:space="preserve">che segue </w:t>
            </w:r>
            <w:r w:rsidR="008856BC" w:rsidRPr="00326A8D">
              <w:rPr>
                <w:rFonts w:ascii="Fira Sans" w:eastAsia="Century" w:hAnsi="Fira Sans" w:cs="Century"/>
                <w:szCs w:val="20"/>
              </w:rPr>
              <w:t xml:space="preserve">copre tutti gli indicatori indicati come obbligatori nelle Linee guida dell’Ateneo. </w:t>
            </w:r>
          </w:p>
          <w:p w14:paraId="5A3EF44C" w14:textId="77777777" w:rsidR="008856BC" w:rsidRPr="00E51AFD" w:rsidRDefault="008856BC" w:rsidP="008856BC">
            <w:pPr>
              <w:spacing w:line="240" w:lineRule="atLeast"/>
              <w:jc w:val="both"/>
              <w:rPr>
                <w:rFonts w:ascii="Fira Sans" w:eastAsia="Century" w:hAnsi="Fira Sans" w:cs="Century"/>
                <w:color w:val="0000FF"/>
                <w:szCs w:val="20"/>
              </w:rPr>
            </w:pPr>
          </w:p>
          <w:p w14:paraId="6E6080E0" w14:textId="77777777" w:rsidR="008856BC" w:rsidRPr="007641AE" w:rsidRDefault="008856BC" w:rsidP="008856BC">
            <w:pPr>
              <w:spacing w:after="120" w:line="240" w:lineRule="atLeast"/>
              <w:rPr>
                <w:rFonts w:ascii="Fira Sans" w:eastAsia="Century" w:hAnsi="Fira Sans" w:cs="Century"/>
                <w:szCs w:val="20"/>
              </w:rPr>
            </w:pPr>
            <w:r w:rsidRPr="007641AE">
              <w:rPr>
                <w:rFonts w:ascii="Fira Sans" w:eastAsia="Century" w:hAnsi="Fira Sans" w:cs="Century"/>
                <w:b/>
                <w:bCs/>
                <w:smallCaps/>
                <w:szCs w:val="20"/>
              </w:rPr>
              <w:t>Indicatori relativi alla scheda anagrafica</w:t>
            </w:r>
          </w:p>
          <w:p w14:paraId="073D1314" w14:textId="77777777" w:rsidR="008856BC" w:rsidRPr="007641AE" w:rsidRDefault="008856BC" w:rsidP="008856BC">
            <w:pPr>
              <w:spacing w:line="240" w:lineRule="atLeast"/>
              <w:jc w:val="both"/>
              <w:rPr>
                <w:rFonts w:ascii="Fira Sans" w:eastAsia="Century" w:hAnsi="Fira Sans" w:cs="Century"/>
                <w:szCs w:val="20"/>
              </w:rPr>
            </w:pPr>
            <w:r w:rsidRPr="007641AE">
              <w:rPr>
                <w:rFonts w:ascii="Fira Sans" w:eastAsia="Century" w:hAnsi="Fira Sans" w:cs="Century"/>
                <w:b/>
                <w:bCs/>
                <w:szCs w:val="20"/>
              </w:rPr>
              <w:t>iC00a: Avvii di carriera al primo anno</w:t>
            </w:r>
          </w:p>
          <w:p w14:paraId="5037F739" w14:textId="2090CF1C" w:rsidR="00E71262" w:rsidRPr="00326A8D" w:rsidRDefault="008856BC" w:rsidP="008856BC">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 xml:space="preserve">Gli avvii di carriera al primo anno </w:t>
            </w:r>
            <w:r w:rsidR="00583A60" w:rsidRPr="00326A8D">
              <w:rPr>
                <w:rFonts w:ascii="Fira Sans" w:eastAsia="Century" w:hAnsi="Fira Sans" w:cs="Century"/>
                <w:szCs w:val="20"/>
              </w:rPr>
              <w:t>dal 2017 al 2020</w:t>
            </w:r>
            <w:r w:rsidRPr="00326A8D">
              <w:rPr>
                <w:rFonts w:ascii="Fira Sans" w:eastAsia="Century" w:hAnsi="Fira Sans" w:cs="Century"/>
                <w:szCs w:val="20"/>
              </w:rPr>
              <w:t xml:space="preserve"> presentano un positivo e costante incisivo trend di crescita </w:t>
            </w:r>
            <w:r w:rsidR="00E71262" w:rsidRPr="00326A8D">
              <w:rPr>
                <w:rFonts w:ascii="Fira Sans" w:eastAsia="Century" w:hAnsi="Fira Sans" w:cs="Century"/>
                <w:szCs w:val="20"/>
              </w:rPr>
              <w:t xml:space="preserve">nei primi quattro anni </w:t>
            </w:r>
            <w:r w:rsidRPr="00326A8D">
              <w:rPr>
                <w:rFonts w:ascii="Fira Sans" w:eastAsia="Century" w:hAnsi="Fira Sans" w:cs="Century"/>
                <w:szCs w:val="20"/>
              </w:rPr>
              <w:t>(</w:t>
            </w:r>
            <w:bookmarkStart w:id="0" w:name="_Hlk114758116"/>
            <w:r w:rsidR="00583A60" w:rsidRPr="00326A8D">
              <w:rPr>
                <w:rFonts w:ascii="Fira Sans" w:eastAsia="Century" w:hAnsi="Fira Sans" w:cs="Century"/>
                <w:szCs w:val="20"/>
              </w:rPr>
              <w:t xml:space="preserve">42 </w:t>
            </w:r>
            <w:r w:rsidR="00E71262" w:rsidRPr="00326A8D">
              <w:rPr>
                <w:rFonts w:ascii="Fira Sans" w:eastAsia="Century" w:hAnsi="Fira Sans" w:cs="Century"/>
                <w:szCs w:val="20"/>
              </w:rPr>
              <w:t>nel 2017, 63 nel 2018, 71 nel 2019 e 84 nel 2020</w:t>
            </w:r>
            <w:bookmarkEnd w:id="0"/>
            <w:r w:rsidRPr="00326A8D">
              <w:rPr>
                <w:rFonts w:ascii="Fira Sans" w:eastAsia="Century" w:hAnsi="Fira Sans" w:cs="Century"/>
                <w:szCs w:val="20"/>
              </w:rPr>
              <w:t>)</w:t>
            </w:r>
            <w:r w:rsidR="00E71262" w:rsidRPr="00326A8D">
              <w:rPr>
                <w:rFonts w:ascii="Fira Sans" w:eastAsia="Century" w:hAnsi="Fira Sans" w:cs="Century"/>
                <w:szCs w:val="20"/>
              </w:rPr>
              <w:t xml:space="preserve"> per subire poi una</w:t>
            </w:r>
            <w:r w:rsidR="00583A60" w:rsidRPr="00326A8D">
              <w:rPr>
                <w:rFonts w:ascii="Fira Sans" w:eastAsia="Century" w:hAnsi="Fira Sans" w:cs="Century"/>
                <w:szCs w:val="20"/>
              </w:rPr>
              <w:t xml:space="preserve"> diminuzione nell’ultimo anno (</w:t>
            </w:r>
            <w:bookmarkStart w:id="1" w:name="_Hlk114758131"/>
            <w:r w:rsidR="00E71262" w:rsidRPr="00326A8D">
              <w:rPr>
                <w:rFonts w:ascii="Fira Sans" w:eastAsia="Century" w:hAnsi="Fira Sans" w:cs="Century"/>
                <w:szCs w:val="20"/>
              </w:rPr>
              <w:t>78 nel 2021</w:t>
            </w:r>
            <w:bookmarkEnd w:id="1"/>
            <w:r w:rsidR="00E71262" w:rsidRPr="00326A8D">
              <w:rPr>
                <w:rFonts w:ascii="Fira Sans" w:eastAsia="Century" w:hAnsi="Fira Sans" w:cs="Century"/>
                <w:szCs w:val="20"/>
              </w:rPr>
              <w:t>)</w:t>
            </w:r>
            <w:r w:rsidRPr="00326A8D">
              <w:rPr>
                <w:rFonts w:ascii="Fira Sans" w:eastAsia="Century" w:hAnsi="Fira Sans" w:cs="Century"/>
                <w:szCs w:val="20"/>
              </w:rPr>
              <w:t>.</w:t>
            </w:r>
          </w:p>
          <w:p w14:paraId="5363006D" w14:textId="6BEE635B" w:rsidR="00674E19" w:rsidRPr="00326A8D" w:rsidRDefault="00674E19" w:rsidP="008856BC">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In realtà</w:t>
            </w:r>
            <w:r w:rsidR="00E3276C" w:rsidRPr="00326A8D">
              <w:rPr>
                <w:rFonts w:ascii="Fira Sans" w:eastAsia="Century" w:hAnsi="Fira Sans" w:cs="Century"/>
                <w:szCs w:val="20"/>
              </w:rPr>
              <w:t>,</w:t>
            </w:r>
            <w:r w:rsidRPr="00326A8D">
              <w:rPr>
                <w:rFonts w:ascii="Fira Sans" w:eastAsia="Century" w:hAnsi="Fira Sans" w:cs="Century"/>
                <w:szCs w:val="20"/>
              </w:rPr>
              <w:t xml:space="preserve"> l’</w:t>
            </w:r>
            <w:r w:rsidR="00E71262" w:rsidRPr="00326A8D">
              <w:rPr>
                <w:rFonts w:ascii="Fira Sans" w:eastAsia="Century" w:hAnsi="Fira Sans" w:cs="Century"/>
                <w:szCs w:val="20"/>
              </w:rPr>
              <w:t xml:space="preserve">inversione del trend </w:t>
            </w:r>
            <w:r w:rsidRPr="00326A8D">
              <w:rPr>
                <w:rFonts w:ascii="Fira Sans" w:eastAsia="Century" w:hAnsi="Fira Sans" w:cs="Century"/>
                <w:szCs w:val="20"/>
              </w:rPr>
              <w:t xml:space="preserve">era già stata prevista nella SMA dell’anno scorso. Infatti, nel commentare </w:t>
            </w:r>
            <w:r w:rsidR="00E3276C" w:rsidRPr="00326A8D">
              <w:rPr>
                <w:rFonts w:ascii="Fira Sans" w:eastAsia="Century" w:hAnsi="Fira Sans" w:cs="Century"/>
                <w:szCs w:val="20"/>
              </w:rPr>
              <w:t>l’</w:t>
            </w:r>
            <w:r w:rsidRPr="00326A8D">
              <w:rPr>
                <w:rFonts w:ascii="Fira Sans" w:eastAsia="Century" w:hAnsi="Fira Sans" w:cs="Century"/>
                <w:szCs w:val="20"/>
              </w:rPr>
              <w:t xml:space="preserve">aumento di avvii di carriera nell’anno 2020 rispetto all’anno precedente, si </w:t>
            </w:r>
            <w:r w:rsidR="00BC70BF" w:rsidRPr="00326A8D">
              <w:rPr>
                <w:rFonts w:ascii="Fira Sans" w:eastAsia="Century" w:hAnsi="Fira Sans" w:cs="Century"/>
                <w:szCs w:val="20"/>
              </w:rPr>
              <w:t>era</w:t>
            </w:r>
            <w:r w:rsidRPr="00326A8D">
              <w:rPr>
                <w:rFonts w:ascii="Fira Sans" w:eastAsia="Century" w:hAnsi="Fira Sans" w:cs="Century"/>
                <w:szCs w:val="20"/>
              </w:rPr>
              <w:t xml:space="preserve"> fatto presente che esso molto probabilmente traeva origine da una situazione contingente dovuta alla pandemia covid-19. La circostanza che fino a quel momento la didattica fosse svolta esclusivamente online </w:t>
            </w:r>
            <w:r w:rsidR="00E905B4" w:rsidRPr="00326A8D">
              <w:rPr>
                <w:rFonts w:ascii="Fira Sans" w:eastAsia="Century" w:hAnsi="Fira Sans" w:cs="Century"/>
                <w:szCs w:val="20"/>
              </w:rPr>
              <w:t>poteva infatti aver incentivato</w:t>
            </w:r>
            <w:r w:rsidRPr="00326A8D">
              <w:rPr>
                <w:rFonts w:ascii="Fira Sans" w:eastAsia="Century" w:hAnsi="Fira Sans" w:cs="Century"/>
                <w:szCs w:val="20"/>
              </w:rPr>
              <w:t xml:space="preserve"> a iscriversi al CdS EMMP </w:t>
            </w:r>
            <w:r w:rsidR="007641AE" w:rsidRPr="00326A8D">
              <w:rPr>
                <w:rFonts w:ascii="Fira Sans" w:eastAsia="Century" w:hAnsi="Fira Sans" w:cs="Century"/>
                <w:szCs w:val="20"/>
              </w:rPr>
              <w:t xml:space="preserve">anche </w:t>
            </w:r>
            <w:r w:rsidRPr="00326A8D">
              <w:rPr>
                <w:rFonts w:ascii="Fira Sans" w:eastAsia="Century" w:hAnsi="Fira Sans" w:cs="Century"/>
                <w:szCs w:val="20"/>
              </w:rPr>
              <w:t>chi</w:t>
            </w:r>
            <w:r w:rsidR="00E3276C" w:rsidRPr="00326A8D">
              <w:rPr>
                <w:rFonts w:ascii="Fira Sans" w:eastAsia="Century" w:hAnsi="Fira Sans" w:cs="Century"/>
                <w:szCs w:val="20"/>
              </w:rPr>
              <w:t>,</w:t>
            </w:r>
            <w:r w:rsidRPr="00326A8D">
              <w:rPr>
                <w:rFonts w:ascii="Fira Sans" w:eastAsia="Century" w:hAnsi="Fira Sans" w:cs="Century"/>
                <w:szCs w:val="20"/>
              </w:rPr>
              <w:t xml:space="preserve"> per difficoltà di spostamento</w:t>
            </w:r>
            <w:r w:rsidR="00E3276C" w:rsidRPr="00326A8D">
              <w:rPr>
                <w:rFonts w:ascii="Fira Sans" w:eastAsia="Century" w:hAnsi="Fira Sans" w:cs="Century"/>
                <w:szCs w:val="20"/>
              </w:rPr>
              <w:t>,</w:t>
            </w:r>
            <w:r w:rsidRPr="00326A8D">
              <w:rPr>
                <w:rFonts w:ascii="Fira Sans" w:eastAsia="Century" w:hAnsi="Fira Sans" w:cs="Century"/>
                <w:szCs w:val="20"/>
              </w:rPr>
              <w:t xml:space="preserve"> non avrebbe preso questa decisione se le lezioni fossero state svolte interamente in presenza. </w:t>
            </w:r>
            <w:r w:rsidR="007641AE" w:rsidRPr="00326A8D">
              <w:rPr>
                <w:rFonts w:ascii="Fira Sans" w:eastAsia="Century" w:hAnsi="Fira Sans" w:cs="Century"/>
                <w:szCs w:val="20"/>
              </w:rPr>
              <w:t xml:space="preserve">Se si legge </w:t>
            </w:r>
            <w:r w:rsidR="00BC70BF" w:rsidRPr="00326A8D">
              <w:rPr>
                <w:rFonts w:ascii="Fira Sans" w:eastAsia="Century" w:hAnsi="Fira Sans" w:cs="Century"/>
                <w:szCs w:val="20"/>
              </w:rPr>
              <w:t xml:space="preserve">quindi </w:t>
            </w:r>
            <w:r w:rsidR="007641AE" w:rsidRPr="00326A8D">
              <w:rPr>
                <w:rFonts w:ascii="Fira Sans" w:eastAsia="Century" w:hAnsi="Fira Sans" w:cs="Century"/>
                <w:szCs w:val="20"/>
              </w:rPr>
              <w:t>l’andamento dell’indicatore, escludendo il picco nel 2020, si può notare che il trend è in costante crescita, tanto che il dato nel 2021 risulta superiore rispetto al 2019.</w:t>
            </w:r>
          </w:p>
          <w:p w14:paraId="4D52E170" w14:textId="2C593846" w:rsidR="008856BC" w:rsidRPr="00326A8D" w:rsidRDefault="00E905B4" w:rsidP="00AC6375">
            <w:pPr>
              <w:spacing w:line="240" w:lineRule="atLeast"/>
              <w:ind w:firstLine="284"/>
              <w:jc w:val="both"/>
              <w:rPr>
                <w:rFonts w:ascii="Fira Sans" w:eastAsia="Century" w:hAnsi="Fira Sans" w:cs="Century"/>
                <w:szCs w:val="20"/>
              </w:rPr>
            </w:pPr>
            <w:r w:rsidRPr="00326A8D">
              <w:rPr>
                <w:rFonts w:ascii="Fira Sans" w:eastAsia="Century" w:hAnsi="Fira Sans" w:cs="Century"/>
                <w:szCs w:val="20"/>
              </w:rPr>
              <w:t xml:space="preserve">Sempre in relazione all’indicatore qui in esame si può osservare che gli avvii di carriera al primo anno del CdS EMMP </w:t>
            </w:r>
            <w:r w:rsidR="007641AE" w:rsidRPr="00326A8D">
              <w:rPr>
                <w:rFonts w:ascii="Fira Sans" w:eastAsia="Century" w:hAnsi="Fira Sans" w:cs="Century"/>
                <w:szCs w:val="20"/>
              </w:rPr>
              <w:t xml:space="preserve">(con la sola eccezione nel 2021 che vede il dato del CdS EMMP leggermente superiore a quello dell’Ateneo) </w:t>
            </w:r>
            <w:r w:rsidR="008856BC" w:rsidRPr="00326A8D">
              <w:rPr>
                <w:rFonts w:ascii="Fira Sans" w:eastAsia="Century" w:hAnsi="Fira Sans" w:cs="Century"/>
                <w:szCs w:val="20"/>
              </w:rPr>
              <w:t xml:space="preserve">risultano inferiori alle medie d’Ateneo e dell’area geografica di riferimento. Sotto quest’ultimo profilo va però </w:t>
            </w:r>
            <w:r w:rsidR="007641AE" w:rsidRPr="00326A8D">
              <w:rPr>
                <w:rFonts w:ascii="Fira Sans" w:eastAsia="Century" w:hAnsi="Fira Sans" w:cs="Century"/>
                <w:szCs w:val="20"/>
              </w:rPr>
              <w:t>ribadito</w:t>
            </w:r>
            <w:r w:rsidR="008856BC" w:rsidRPr="00326A8D">
              <w:rPr>
                <w:rFonts w:ascii="Fira Sans" w:eastAsia="Century" w:hAnsi="Fira Sans" w:cs="Century"/>
                <w:szCs w:val="20"/>
              </w:rPr>
              <w:t xml:space="preserve"> che</w:t>
            </w:r>
            <w:r w:rsidR="007641AE" w:rsidRPr="00326A8D">
              <w:rPr>
                <w:rFonts w:ascii="Fira Sans" w:eastAsia="Century" w:hAnsi="Fira Sans" w:cs="Century"/>
                <w:szCs w:val="20"/>
              </w:rPr>
              <w:t>, come già evidenziato nella SMA 2021</w:t>
            </w:r>
            <w:r w:rsidR="00B0252A" w:rsidRPr="00326A8D">
              <w:rPr>
                <w:rFonts w:ascii="Fira Sans" w:eastAsia="Century" w:hAnsi="Fira Sans" w:cs="Century"/>
                <w:szCs w:val="20"/>
              </w:rPr>
              <w:t>,</w:t>
            </w:r>
            <w:r w:rsidR="008856BC" w:rsidRPr="00326A8D">
              <w:rPr>
                <w:rFonts w:ascii="Fira Sans" w:eastAsia="Century" w:hAnsi="Fira Sans" w:cs="Century"/>
                <w:szCs w:val="20"/>
              </w:rPr>
              <w:t xml:space="preserve"> la specificità del CdS EMMP e le peculiarità della sua offerta didattica non solo mal si concilierebbero con classi eccessiva</w:t>
            </w:r>
            <w:r w:rsidR="00ED2B7C">
              <w:rPr>
                <w:rFonts w:ascii="Fira Sans" w:eastAsia="Century" w:hAnsi="Fira Sans" w:cs="Century"/>
                <w:szCs w:val="20"/>
              </w:rPr>
              <w:softHyphen/>
            </w:r>
            <w:r w:rsidR="008856BC" w:rsidRPr="00326A8D">
              <w:rPr>
                <w:rFonts w:ascii="Fira Sans" w:eastAsia="Century" w:hAnsi="Fira Sans" w:cs="Century"/>
                <w:szCs w:val="20"/>
              </w:rPr>
              <w:t xml:space="preserve">mente numerose, ma, come anticipato nella premessa, rendono il confronto tra gli indicatori del CdS EMMP e quelli degli altri aggregati della stessa classe di laurea poco significativi. </w:t>
            </w:r>
          </w:p>
          <w:p w14:paraId="203C9463" w14:textId="0421AFF9" w:rsidR="00AC6375" w:rsidRPr="00326A8D" w:rsidRDefault="00AC6375" w:rsidP="007641AE">
            <w:pPr>
              <w:spacing w:after="120" w:line="240" w:lineRule="atLeast"/>
              <w:ind w:firstLine="284"/>
              <w:jc w:val="both"/>
              <w:rPr>
                <w:rFonts w:ascii="Fira Sans" w:eastAsia="Century" w:hAnsi="Fira Sans" w:cs="Century"/>
                <w:szCs w:val="20"/>
                <w:highlight w:val="yellow"/>
              </w:rPr>
            </w:pPr>
            <w:r w:rsidRPr="00326A8D">
              <w:rPr>
                <w:rFonts w:ascii="Fira Sans" w:eastAsia="Century" w:hAnsi="Fira Sans" w:cs="Century"/>
                <w:szCs w:val="20"/>
              </w:rPr>
              <w:t xml:space="preserve">Il CCS ritiene pertanto l’indicatore </w:t>
            </w:r>
            <w:r w:rsidR="00E3276C" w:rsidRPr="00326A8D">
              <w:rPr>
                <w:rFonts w:ascii="Fira Sans" w:eastAsia="Century" w:hAnsi="Fira Sans" w:cs="Century"/>
                <w:szCs w:val="20"/>
              </w:rPr>
              <w:t xml:space="preserve">iC00a </w:t>
            </w:r>
            <w:r w:rsidR="00B0252A" w:rsidRPr="00326A8D">
              <w:rPr>
                <w:rFonts w:ascii="Fira Sans" w:eastAsia="Century" w:hAnsi="Fira Sans" w:cs="Century"/>
                <w:szCs w:val="20"/>
              </w:rPr>
              <w:t>soddisfacente</w:t>
            </w:r>
            <w:r w:rsidRPr="00326A8D">
              <w:rPr>
                <w:rFonts w:ascii="Fira Sans" w:eastAsia="Century" w:hAnsi="Fira Sans" w:cs="Century"/>
                <w:szCs w:val="20"/>
              </w:rPr>
              <w:t>.</w:t>
            </w:r>
          </w:p>
          <w:p w14:paraId="7F9F581B" w14:textId="77777777" w:rsidR="008856BC" w:rsidRPr="00CC79C4" w:rsidRDefault="008856BC" w:rsidP="008856BC">
            <w:pPr>
              <w:spacing w:line="240" w:lineRule="atLeast"/>
              <w:jc w:val="both"/>
              <w:rPr>
                <w:rFonts w:ascii="Fira Sans" w:eastAsia="Century" w:hAnsi="Fira Sans" w:cs="Century"/>
                <w:szCs w:val="20"/>
              </w:rPr>
            </w:pPr>
            <w:r w:rsidRPr="00CC79C4">
              <w:rPr>
                <w:rFonts w:ascii="Fira Sans" w:eastAsia="Century" w:hAnsi="Fira Sans" w:cs="Century"/>
                <w:b/>
                <w:bCs/>
                <w:szCs w:val="20"/>
              </w:rPr>
              <w:t>iC00d: Iscritti</w:t>
            </w:r>
          </w:p>
          <w:p w14:paraId="1B7D0D2A" w14:textId="227A7DBD" w:rsidR="00326A8D" w:rsidRPr="00ED2B7C" w:rsidRDefault="008856BC" w:rsidP="00326A8D">
            <w:pPr>
              <w:spacing w:line="240" w:lineRule="atLeast"/>
              <w:ind w:firstLine="284"/>
              <w:jc w:val="both"/>
              <w:rPr>
                <w:rFonts w:ascii="Fira Sans" w:eastAsia="Century" w:hAnsi="Fira Sans" w:cs="Century"/>
                <w:szCs w:val="20"/>
              </w:rPr>
            </w:pPr>
            <w:r w:rsidRPr="00ED2B7C">
              <w:rPr>
                <w:rFonts w:ascii="Fira Sans" w:eastAsia="Century" w:hAnsi="Fira Sans" w:cs="Century"/>
                <w:szCs w:val="20"/>
              </w:rPr>
              <w:t xml:space="preserve">L’indicatore relativo al numero di iscritti al Corso di studio si caratterizza per un </w:t>
            </w:r>
            <w:r w:rsidR="00EA6B51" w:rsidRPr="00ED2B7C">
              <w:rPr>
                <w:rFonts w:ascii="Fira Sans" w:eastAsia="Century" w:hAnsi="Fira Sans" w:cs="Century"/>
                <w:szCs w:val="20"/>
              </w:rPr>
              <w:t>trend</w:t>
            </w:r>
            <w:r w:rsidRPr="00ED2B7C">
              <w:rPr>
                <w:rFonts w:ascii="Fira Sans" w:eastAsia="Century" w:hAnsi="Fira Sans" w:cs="Century"/>
                <w:szCs w:val="20"/>
              </w:rPr>
              <w:t xml:space="preserve"> in crescita </w:t>
            </w:r>
            <w:r w:rsidR="006668EF" w:rsidRPr="00ED2B7C">
              <w:rPr>
                <w:rFonts w:ascii="Fira Sans" w:eastAsia="Century" w:hAnsi="Fira Sans" w:cs="Century"/>
                <w:szCs w:val="20"/>
              </w:rPr>
              <w:lastRenderedPageBreak/>
              <w:t>che si stabilizza nell’ultimo anno</w:t>
            </w:r>
            <w:r w:rsidRPr="00ED2B7C">
              <w:rPr>
                <w:rFonts w:ascii="Fira Sans" w:eastAsia="Century" w:hAnsi="Fira Sans" w:cs="Century"/>
                <w:szCs w:val="20"/>
              </w:rPr>
              <w:t xml:space="preserve"> (98 nel 2017, 116 nel 2018, 150 nel 2019</w:t>
            </w:r>
            <w:r w:rsidR="006668EF" w:rsidRPr="00ED2B7C">
              <w:rPr>
                <w:rFonts w:ascii="Fira Sans" w:eastAsia="Century" w:hAnsi="Fira Sans" w:cs="Century"/>
                <w:szCs w:val="20"/>
              </w:rPr>
              <w:t>,</w:t>
            </w:r>
            <w:r w:rsidRPr="00ED2B7C">
              <w:rPr>
                <w:rFonts w:ascii="Fira Sans" w:eastAsia="Century" w:hAnsi="Fira Sans" w:cs="Century"/>
                <w:szCs w:val="20"/>
              </w:rPr>
              <w:t xml:space="preserve"> 188 nel 2020</w:t>
            </w:r>
            <w:r w:rsidR="006668EF" w:rsidRPr="00ED2B7C">
              <w:rPr>
                <w:rFonts w:ascii="Fira Sans" w:eastAsia="Century" w:hAnsi="Fira Sans" w:cs="Century"/>
                <w:szCs w:val="20"/>
              </w:rPr>
              <w:t xml:space="preserve"> e 187 nel 2021</w:t>
            </w:r>
            <w:r w:rsidRPr="00ED2B7C">
              <w:rPr>
                <w:rFonts w:ascii="Fira Sans" w:eastAsia="Century" w:hAnsi="Fira Sans" w:cs="Century"/>
                <w:szCs w:val="20"/>
              </w:rPr>
              <w:t>)</w:t>
            </w:r>
            <w:r w:rsidR="00326A8D" w:rsidRPr="00ED2B7C">
              <w:rPr>
                <w:rFonts w:ascii="Fira Sans" w:eastAsia="Century" w:hAnsi="Fira Sans" w:cs="Century"/>
                <w:szCs w:val="20"/>
              </w:rPr>
              <w:t xml:space="preserve">. </w:t>
            </w:r>
          </w:p>
          <w:p w14:paraId="20B06D09" w14:textId="650BEA13" w:rsidR="008856BC" w:rsidRDefault="00326A8D" w:rsidP="002438C2">
            <w:pPr>
              <w:spacing w:line="240" w:lineRule="atLeast"/>
              <w:ind w:firstLine="284"/>
              <w:jc w:val="both"/>
              <w:rPr>
                <w:rFonts w:ascii="Fira Sans" w:eastAsia="Century" w:hAnsi="Fira Sans" w:cs="Century"/>
                <w:color w:val="C00000"/>
                <w:szCs w:val="20"/>
              </w:rPr>
            </w:pPr>
            <w:r w:rsidRPr="00ED2B7C">
              <w:rPr>
                <w:rFonts w:ascii="Fira Sans" w:eastAsia="Century" w:hAnsi="Fira Sans" w:cs="Century"/>
                <w:szCs w:val="20"/>
              </w:rPr>
              <w:t>Sebbene i</w:t>
            </w:r>
            <w:r w:rsidR="00790982" w:rsidRPr="00ED2B7C">
              <w:rPr>
                <w:rFonts w:ascii="Fira Sans" w:eastAsia="Century" w:hAnsi="Fira Sans" w:cs="Century"/>
                <w:szCs w:val="20"/>
              </w:rPr>
              <w:t xml:space="preserve">n tutti gli anni considerati i dati </w:t>
            </w:r>
            <w:r w:rsidR="00EA6B51" w:rsidRPr="00ED2B7C">
              <w:rPr>
                <w:rFonts w:ascii="Fira Sans" w:eastAsia="Century" w:hAnsi="Fira Sans" w:cs="Century"/>
                <w:szCs w:val="20"/>
              </w:rPr>
              <w:t xml:space="preserve">EMMP </w:t>
            </w:r>
            <w:r w:rsidR="00790982" w:rsidRPr="00ED2B7C">
              <w:rPr>
                <w:rFonts w:ascii="Fira Sans" w:eastAsia="Century" w:hAnsi="Fira Sans" w:cs="Century"/>
                <w:szCs w:val="20"/>
              </w:rPr>
              <w:t>risult</w:t>
            </w:r>
            <w:r w:rsidR="00EA6B51" w:rsidRPr="00ED2B7C">
              <w:rPr>
                <w:rFonts w:ascii="Fira Sans" w:eastAsia="Century" w:hAnsi="Fira Sans" w:cs="Century"/>
                <w:szCs w:val="20"/>
              </w:rPr>
              <w:t>i</w:t>
            </w:r>
            <w:r w:rsidR="00790982" w:rsidRPr="00ED2B7C">
              <w:rPr>
                <w:rFonts w:ascii="Fira Sans" w:eastAsia="Century" w:hAnsi="Fira Sans" w:cs="Century"/>
                <w:szCs w:val="20"/>
              </w:rPr>
              <w:t>no di gran lunga inferiori a quelli di Ateneo e dell’area di riferimento</w:t>
            </w:r>
            <w:r w:rsidRPr="00ED2B7C">
              <w:rPr>
                <w:rFonts w:ascii="Fira Sans" w:eastAsia="Century" w:hAnsi="Fira Sans" w:cs="Century"/>
                <w:szCs w:val="20"/>
              </w:rPr>
              <w:t xml:space="preserve">, l’andamento degli iscritti </w:t>
            </w:r>
            <w:r w:rsidR="00EA6B51" w:rsidRPr="00ED2B7C">
              <w:rPr>
                <w:rFonts w:ascii="Fira Sans" w:eastAsia="Century" w:hAnsi="Fira Sans" w:cs="Century"/>
                <w:szCs w:val="20"/>
              </w:rPr>
              <w:t xml:space="preserve">appare coerente con la specificità del CdS EMMP e del relativo mercato del lavoro. Il CCS si riserva comunque di monitorarne attentamente l’andamento </w:t>
            </w:r>
            <w:r w:rsidR="00ED2B7C">
              <w:rPr>
                <w:rFonts w:ascii="Fira Sans" w:eastAsia="Century" w:hAnsi="Fira Sans" w:cs="Century"/>
                <w:szCs w:val="20"/>
              </w:rPr>
              <w:t>futuro.</w:t>
            </w:r>
            <w:r>
              <w:rPr>
                <w:rFonts w:ascii="Fira Sans" w:eastAsia="Century" w:hAnsi="Fira Sans" w:cs="Century"/>
                <w:color w:val="C00000"/>
                <w:szCs w:val="20"/>
              </w:rPr>
              <w:t xml:space="preserve"> </w:t>
            </w:r>
          </w:p>
          <w:p w14:paraId="151FBEC9" w14:textId="77777777" w:rsidR="00834694" w:rsidRPr="00E51AFD" w:rsidRDefault="00834694" w:rsidP="002438C2">
            <w:pPr>
              <w:spacing w:line="240" w:lineRule="atLeast"/>
              <w:ind w:firstLine="284"/>
              <w:jc w:val="both"/>
              <w:rPr>
                <w:rFonts w:ascii="Fira Sans" w:eastAsia="Century" w:hAnsi="Fira Sans" w:cs="Century"/>
                <w:color w:val="0000FF"/>
                <w:szCs w:val="20"/>
              </w:rPr>
            </w:pPr>
          </w:p>
          <w:p w14:paraId="2B53BD6D" w14:textId="77777777" w:rsidR="008856BC" w:rsidRPr="004445F9" w:rsidRDefault="008856BC" w:rsidP="008856BC">
            <w:pPr>
              <w:spacing w:after="120" w:line="240" w:lineRule="atLeast"/>
              <w:rPr>
                <w:rFonts w:ascii="Fira Sans" w:eastAsia="Century" w:hAnsi="Fira Sans" w:cs="Century"/>
                <w:szCs w:val="20"/>
              </w:rPr>
            </w:pPr>
            <w:r w:rsidRPr="004445F9">
              <w:rPr>
                <w:rFonts w:ascii="Fira Sans" w:eastAsia="Century" w:hAnsi="Fira Sans" w:cs="Century"/>
                <w:b/>
                <w:bCs/>
                <w:smallCaps/>
                <w:szCs w:val="20"/>
              </w:rPr>
              <w:t>Gruppo A - Indicatori Didattica</w:t>
            </w:r>
          </w:p>
          <w:p w14:paraId="4696B931" w14:textId="77777777" w:rsidR="008856BC" w:rsidRPr="004445F9" w:rsidRDefault="008856BC" w:rsidP="008856BC">
            <w:pPr>
              <w:spacing w:line="240" w:lineRule="atLeast"/>
              <w:jc w:val="both"/>
              <w:rPr>
                <w:rFonts w:ascii="Fira Sans" w:eastAsia="Century" w:hAnsi="Fira Sans" w:cs="Century"/>
                <w:szCs w:val="20"/>
              </w:rPr>
            </w:pPr>
            <w:r w:rsidRPr="004445F9">
              <w:rPr>
                <w:rFonts w:ascii="Fira Sans" w:eastAsia="Century" w:hAnsi="Fira Sans" w:cs="Century"/>
                <w:b/>
                <w:bCs/>
                <w:szCs w:val="20"/>
              </w:rPr>
              <w:t xml:space="preserve">iC01: Percentuale di studenti iscritti entro la durata normale del CdS che abbiano acquisito almeno 40 CFU </w:t>
            </w:r>
            <w:proofErr w:type="spellStart"/>
            <w:r w:rsidRPr="004445F9">
              <w:rPr>
                <w:rFonts w:ascii="Fira Sans" w:eastAsia="Century" w:hAnsi="Fira Sans" w:cs="Century"/>
                <w:b/>
                <w:bCs/>
                <w:szCs w:val="20"/>
              </w:rPr>
              <w:t>nell’a.s.</w:t>
            </w:r>
            <w:proofErr w:type="spellEnd"/>
          </w:p>
          <w:p w14:paraId="2769E937" w14:textId="407392EE" w:rsidR="00D07E85" w:rsidRPr="00ED2B7C" w:rsidRDefault="00D07E85" w:rsidP="008856BC">
            <w:pPr>
              <w:spacing w:line="240" w:lineRule="atLeast"/>
              <w:ind w:firstLine="284"/>
              <w:jc w:val="both"/>
              <w:rPr>
                <w:rFonts w:ascii="Fira Sans" w:eastAsia="Century" w:hAnsi="Fira Sans" w:cs="Century"/>
                <w:szCs w:val="20"/>
              </w:rPr>
            </w:pPr>
            <w:r w:rsidRPr="00ED2B7C">
              <w:rPr>
                <w:rFonts w:ascii="Fira Sans" w:eastAsia="Century" w:hAnsi="Fira Sans" w:cs="Century"/>
                <w:szCs w:val="20"/>
              </w:rPr>
              <w:t>Questo indicatore</w:t>
            </w:r>
            <w:r w:rsidR="004445F9" w:rsidRPr="00ED2B7C">
              <w:rPr>
                <w:rFonts w:ascii="Fira Sans" w:eastAsia="Century" w:hAnsi="Fira Sans" w:cs="Century"/>
                <w:szCs w:val="20"/>
              </w:rPr>
              <w:t xml:space="preserve"> </w:t>
            </w:r>
            <w:r w:rsidRPr="00ED2B7C">
              <w:rPr>
                <w:rFonts w:ascii="Fira Sans" w:eastAsia="Century" w:hAnsi="Fira Sans" w:cs="Century"/>
                <w:szCs w:val="20"/>
              </w:rPr>
              <w:t>presenta un andamento oscillante nel corso degli anni (</w:t>
            </w:r>
            <w:r w:rsidR="004445F9" w:rsidRPr="00ED2B7C">
              <w:rPr>
                <w:rFonts w:ascii="Fira Sans" w:eastAsia="Century" w:hAnsi="Fira Sans" w:cs="Century"/>
                <w:szCs w:val="20"/>
              </w:rPr>
              <w:t>73,8% nel 2017, 66,7% nel 2018, 73,2% nel 2019 e 66,0% nel 2020)</w:t>
            </w:r>
            <w:r w:rsidR="00790982" w:rsidRPr="00ED2B7C">
              <w:rPr>
                <w:rFonts w:ascii="Fira Sans" w:eastAsia="Century" w:hAnsi="Fira Sans" w:cs="Century"/>
                <w:szCs w:val="20"/>
              </w:rPr>
              <w:t>, tendenzialmente di poco superiore alle medie di Ateneo, ma inferiore alle medie nazionali</w:t>
            </w:r>
            <w:r w:rsidR="004445F9" w:rsidRPr="00ED2B7C">
              <w:rPr>
                <w:rFonts w:ascii="Fira Sans" w:eastAsia="Century" w:hAnsi="Fira Sans" w:cs="Century"/>
                <w:szCs w:val="20"/>
              </w:rPr>
              <w:t>.</w:t>
            </w:r>
          </w:p>
          <w:p w14:paraId="0BC6AE4B" w14:textId="64F99C6E" w:rsidR="009340CE" w:rsidRPr="00ED2B7C" w:rsidRDefault="009340CE" w:rsidP="008B1755">
            <w:pPr>
              <w:spacing w:after="120" w:line="240" w:lineRule="atLeast"/>
              <w:ind w:firstLine="284"/>
              <w:jc w:val="both"/>
              <w:rPr>
                <w:rFonts w:ascii="Fira Sans" w:eastAsia="Century" w:hAnsi="Fira Sans" w:cs="Century"/>
                <w:szCs w:val="20"/>
              </w:rPr>
            </w:pPr>
            <w:r w:rsidRPr="00ED2B7C">
              <w:rPr>
                <w:rFonts w:ascii="Fira Sans" w:eastAsia="Century" w:hAnsi="Fira Sans" w:cs="Century"/>
                <w:szCs w:val="20"/>
              </w:rPr>
              <w:t>Nell’ultimo anno si assiste a una incisiva diminuzione</w:t>
            </w:r>
            <w:r w:rsidR="00E12066" w:rsidRPr="00ED2B7C">
              <w:rPr>
                <w:rFonts w:ascii="Fira Sans" w:eastAsia="Century" w:hAnsi="Fira Sans" w:cs="Century"/>
                <w:szCs w:val="20"/>
              </w:rPr>
              <w:t xml:space="preserve"> del valore percentuale</w:t>
            </w:r>
            <w:r w:rsidRPr="00ED2B7C">
              <w:rPr>
                <w:rFonts w:ascii="Fira Sans" w:eastAsia="Century" w:hAnsi="Fira Sans" w:cs="Century"/>
                <w:szCs w:val="20"/>
              </w:rPr>
              <w:t xml:space="preserve"> </w:t>
            </w:r>
            <w:r w:rsidR="008B1755" w:rsidRPr="00ED2B7C">
              <w:rPr>
                <w:rFonts w:ascii="Fira Sans" w:eastAsia="Century" w:hAnsi="Fira Sans" w:cs="Century"/>
                <w:szCs w:val="20"/>
              </w:rPr>
              <w:t>che trova giustificazione in</w:t>
            </w:r>
            <w:r w:rsidRPr="00ED2B7C">
              <w:rPr>
                <w:rFonts w:ascii="Fira Sans" w:eastAsia="Century" w:hAnsi="Fira Sans" w:cs="Century"/>
                <w:szCs w:val="20"/>
              </w:rPr>
              <w:t xml:space="preserve"> motivazioni analoghe a quelle che verranno esposte nel commentare</w:t>
            </w:r>
            <w:r w:rsidR="008B1755" w:rsidRPr="00ED2B7C">
              <w:rPr>
                <w:rFonts w:ascii="Fira Sans" w:eastAsia="Century" w:hAnsi="Fira Sans" w:cs="Century"/>
                <w:szCs w:val="20"/>
              </w:rPr>
              <w:t>, nel seguito di questo documento,</w:t>
            </w:r>
            <w:r w:rsidRPr="00ED2B7C">
              <w:rPr>
                <w:rFonts w:ascii="Fira Sans" w:eastAsia="Century" w:hAnsi="Fira Sans" w:cs="Century"/>
                <w:szCs w:val="20"/>
              </w:rPr>
              <w:t xml:space="preserve"> </w:t>
            </w:r>
            <w:r w:rsidR="008B1755" w:rsidRPr="00ED2B7C">
              <w:rPr>
                <w:rFonts w:ascii="Fira Sans" w:eastAsia="Century" w:hAnsi="Fira Sans" w:cs="Century"/>
                <w:szCs w:val="20"/>
              </w:rPr>
              <w:t xml:space="preserve">i </w:t>
            </w:r>
            <w:r w:rsidRPr="00ED2B7C">
              <w:rPr>
                <w:rFonts w:ascii="Fira Sans" w:eastAsia="Century" w:hAnsi="Fira Sans" w:cs="Century"/>
                <w:szCs w:val="20"/>
              </w:rPr>
              <w:t xml:space="preserve">vari indicatori riferiti </w:t>
            </w:r>
            <w:r w:rsidR="008B1755" w:rsidRPr="00ED2B7C">
              <w:rPr>
                <w:rFonts w:ascii="Fira Sans" w:eastAsia="Century" w:hAnsi="Fira Sans" w:cs="Century"/>
                <w:szCs w:val="20"/>
              </w:rPr>
              <w:t>all’avanzamento del percorso di studi degli studenti iscritti a EMMP. In particolare</w:t>
            </w:r>
            <w:r w:rsidR="00AC0FE1" w:rsidRPr="00ED2B7C">
              <w:rPr>
                <w:rFonts w:ascii="Fira Sans" w:eastAsia="Century" w:hAnsi="Fira Sans" w:cs="Century"/>
                <w:szCs w:val="20"/>
              </w:rPr>
              <w:t>,</w:t>
            </w:r>
            <w:r w:rsidR="008B1755" w:rsidRPr="00ED2B7C">
              <w:rPr>
                <w:rFonts w:ascii="Fira Sans" w:eastAsia="Century" w:hAnsi="Fira Sans" w:cs="Century"/>
                <w:szCs w:val="20"/>
              </w:rPr>
              <w:t xml:space="preserve"> si rinvia a quanto </w:t>
            </w:r>
            <w:r w:rsidR="00203E6F" w:rsidRPr="00ED2B7C">
              <w:rPr>
                <w:rFonts w:ascii="Fira Sans" w:eastAsia="Century" w:hAnsi="Fira Sans" w:cs="Century"/>
                <w:szCs w:val="20"/>
              </w:rPr>
              <w:t xml:space="preserve">verrà </w:t>
            </w:r>
            <w:r w:rsidR="008B1755" w:rsidRPr="00ED2B7C">
              <w:rPr>
                <w:rFonts w:ascii="Fira Sans" w:eastAsia="Century" w:hAnsi="Fira Sans" w:cs="Century"/>
                <w:szCs w:val="20"/>
              </w:rPr>
              <w:t xml:space="preserve">osservato in merito all’indicatore </w:t>
            </w:r>
            <w:r w:rsidRPr="00ED2B7C">
              <w:rPr>
                <w:rFonts w:ascii="Fira Sans" w:eastAsia="Century" w:hAnsi="Fira Sans" w:cs="Century"/>
                <w:szCs w:val="20"/>
              </w:rPr>
              <w:t xml:space="preserve">iC15 </w:t>
            </w:r>
            <w:r w:rsidR="008B1755" w:rsidRPr="00ED2B7C">
              <w:rPr>
                <w:rFonts w:ascii="Fira Sans" w:eastAsia="Century" w:hAnsi="Fira Sans" w:cs="Century"/>
                <w:szCs w:val="20"/>
              </w:rPr>
              <w:t>relativo alla p</w:t>
            </w:r>
            <w:r w:rsidRPr="00ED2B7C">
              <w:rPr>
                <w:rFonts w:ascii="Fira Sans" w:eastAsia="Century" w:hAnsi="Fira Sans" w:cs="Century"/>
                <w:szCs w:val="20"/>
              </w:rPr>
              <w:t>ercentuale di studenti che proseguono al II anno nello stesso Corso di studio avendo acquisito almeno 20 CFU al I anno</w:t>
            </w:r>
            <w:r w:rsidR="008B1755" w:rsidRPr="00ED2B7C">
              <w:rPr>
                <w:rFonts w:ascii="Fira Sans" w:eastAsia="Century" w:hAnsi="Fira Sans" w:cs="Century"/>
                <w:szCs w:val="20"/>
              </w:rPr>
              <w:t>.</w:t>
            </w:r>
          </w:p>
          <w:p w14:paraId="5538513C" w14:textId="77777777" w:rsidR="008856BC" w:rsidRPr="00DD4BB1" w:rsidRDefault="008856BC" w:rsidP="008856BC">
            <w:pPr>
              <w:spacing w:line="240" w:lineRule="atLeast"/>
              <w:jc w:val="both"/>
              <w:rPr>
                <w:rFonts w:ascii="Fira Sans" w:eastAsia="Century" w:hAnsi="Fira Sans" w:cs="Century"/>
                <w:szCs w:val="20"/>
                <w:u w:val="single"/>
              </w:rPr>
            </w:pPr>
            <w:r w:rsidRPr="00DD4BB1">
              <w:rPr>
                <w:rFonts w:ascii="Fira Sans" w:eastAsia="Century" w:hAnsi="Fira Sans" w:cs="Century"/>
                <w:b/>
                <w:bCs/>
                <w:szCs w:val="20"/>
                <w:u w:val="single"/>
              </w:rPr>
              <w:t>iC02: Percentuale di laureati entro la durata normale del Corso</w:t>
            </w:r>
          </w:p>
          <w:p w14:paraId="6C914143" w14:textId="0D85933C" w:rsidR="008856BC" w:rsidRPr="001876E5" w:rsidRDefault="00AC6375" w:rsidP="00AC6375">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 xml:space="preserve">Questo indicatore, come segnalato nelle SMA precedenti, mantiene </w:t>
            </w:r>
            <w:r w:rsidR="008856BC" w:rsidRPr="001876E5">
              <w:rPr>
                <w:rFonts w:ascii="Fira Sans" w:eastAsia="Century" w:hAnsi="Fira Sans" w:cs="Century"/>
                <w:szCs w:val="20"/>
              </w:rPr>
              <w:t xml:space="preserve">un andamento altalenante nel corso degli anni </w:t>
            </w:r>
            <w:r w:rsidRPr="001876E5">
              <w:rPr>
                <w:rFonts w:ascii="Fira Sans" w:eastAsia="Century" w:hAnsi="Fira Sans" w:cs="Century"/>
                <w:szCs w:val="20"/>
              </w:rPr>
              <w:t xml:space="preserve">(80,9% nel 2016, 86,5% nel 2017, 74,5% nel 2018, 80,0% nel 2019, 83,8% nel 2020, 80.9% nel 2021) </w:t>
            </w:r>
            <w:r w:rsidR="008856BC" w:rsidRPr="001876E5">
              <w:rPr>
                <w:rFonts w:ascii="Fira Sans" w:eastAsia="Century" w:hAnsi="Fira Sans" w:cs="Century"/>
                <w:szCs w:val="20"/>
              </w:rPr>
              <w:t xml:space="preserve">con un minimo nel 2018. </w:t>
            </w:r>
            <w:r w:rsidR="00D565C0" w:rsidRPr="001876E5">
              <w:rPr>
                <w:rFonts w:ascii="Fira Sans" w:eastAsia="Century" w:hAnsi="Fira Sans" w:cs="Century"/>
                <w:szCs w:val="20"/>
              </w:rPr>
              <w:t>Tranne l’ultimo anno, suddette percentuali risultano leggermente superiori alle medie di Ateneo e leggermente inferiori a quelle dell’area geografica del Nord-Ovest.</w:t>
            </w:r>
          </w:p>
          <w:p w14:paraId="33A705AD" w14:textId="1ED57F27" w:rsidR="00AC6375" w:rsidRPr="001876E5" w:rsidRDefault="00AC6375" w:rsidP="008856BC">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Il</w:t>
            </w:r>
            <w:r w:rsidR="008856BC" w:rsidRPr="001876E5">
              <w:rPr>
                <w:rFonts w:ascii="Fira Sans" w:eastAsia="Century" w:hAnsi="Fira Sans" w:cs="Century"/>
                <w:szCs w:val="20"/>
              </w:rPr>
              <w:t xml:space="preserve"> comportamento oscillante </w:t>
            </w:r>
            <w:r w:rsidRPr="001876E5">
              <w:rPr>
                <w:rFonts w:ascii="Fira Sans" w:eastAsia="Century" w:hAnsi="Fira Sans" w:cs="Century"/>
                <w:szCs w:val="20"/>
              </w:rPr>
              <w:t>è</w:t>
            </w:r>
            <w:r w:rsidR="008856BC" w:rsidRPr="001876E5">
              <w:rPr>
                <w:rFonts w:ascii="Fira Sans" w:eastAsia="Century" w:hAnsi="Fira Sans" w:cs="Century"/>
                <w:szCs w:val="20"/>
              </w:rPr>
              <w:t xml:space="preserve"> dovuto in buona parte alla natura stessa dell’indicatore che deriva da un rapporto tra quantità dall’andamento altalenante</w:t>
            </w:r>
            <w:r w:rsidR="00F32397" w:rsidRPr="001876E5">
              <w:rPr>
                <w:rFonts w:ascii="Fira Sans" w:eastAsia="Century" w:hAnsi="Fira Sans" w:cs="Century"/>
                <w:szCs w:val="20"/>
              </w:rPr>
              <w:t>.</w:t>
            </w:r>
            <w:r w:rsidR="00465696" w:rsidRPr="001876E5">
              <w:rPr>
                <w:rFonts w:ascii="Fira Sans" w:eastAsia="Century" w:hAnsi="Fira Sans" w:cs="Century"/>
                <w:szCs w:val="20"/>
              </w:rPr>
              <w:t xml:space="preserve"> Nell’ultimo anno </w:t>
            </w:r>
            <w:r w:rsidR="00713963" w:rsidRPr="001876E5">
              <w:rPr>
                <w:rFonts w:ascii="Fira Sans" w:eastAsia="Century" w:hAnsi="Fira Sans" w:cs="Century"/>
                <w:szCs w:val="20"/>
              </w:rPr>
              <w:t>la diminuzione percentuale è anche imputabile al fatto che si assiste ad</w:t>
            </w:r>
            <w:r w:rsidR="00465696" w:rsidRPr="001876E5">
              <w:rPr>
                <w:rFonts w:ascii="Fira Sans" w:eastAsia="Century" w:hAnsi="Fira Sans" w:cs="Century"/>
                <w:szCs w:val="20"/>
              </w:rPr>
              <w:t xml:space="preserve"> un incremento del denominatore più elevato dell’incremento del numeratore.</w:t>
            </w:r>
            <w:r w:rsidR="008856BC" w:rsidRPr="001876E5">
              <w:rPr>
                <w:rFonts w:ascii="Fira Sans" w:eastAsia="Century" w:hAnsi="Fira Sans" w:cs="Century"/>
                <w:szCs w:val="20"/>
              </w:rPr>
              <w:t xml:space="preserve"> </w:t>
            </w:r>
          </w:p>
          <w:p w14:paraId="55CC2AD9" w14:textId="12924499" w:rsidR="008856BC" w:rsidRPr="001876E5" w:rsidRDefault="00D565C0" w:rsidP="00D565C0">
            <w:pPr>
              <w:spacing w:after="120" w:line="240" w:lineRule="atLeast"/>
              <w:ind w:firstLine="284"/>
              <w:jc w:val="both"/>
              <w:rPr>
                <w:rFonts w:ascii="Fira Sans" w:eastAsia="Century" w:hAnsi="Fira Sans" w:cs="Century"/>
                <w:szCs w:val="20"/>
              </w:rPr>
            </w:pPr>
            <w:r w:rsidRPr="001876E5">
              <w:rPr>
                <w:rFonts w:ascii="Fira Sans" w:eastAsia="Century" w:hAnsi="Fira Sans" w:cs="Century"/>
                <w:szCs w:val="20"/>
              </w:rPr>
              <w:t>Trattandosi di percentuali comunque elevate, il</w:t>
            </w:r>
            <w:r w:rsidR="008856BC" w:rsidRPr="001876E5">
              <w:rPr>
                <w:rFonts w:ascii="Fira Sans" w:eastAsia="Century" w:hAnsi="Fira Sans" w:cs="Century"/>
                <w:szCs w:val="20"/>
              </w:rPr>
              <w:t xml:space="preserve"> CCS non </w:t>
            </w:r>
            <w:r w:rsidR="00ED2B7C" w:rsidRPr="001876E5">
              <w:rPr>
                <w:rFonts w:ascii="Fira Sans" w:eastAsia="Century" w:hAnsi="Fira Sans" w:cs="Century"/>
                <w:szCs w:val="20"/>
              </w:rPr>
              <w:t>ravvisa la sussistenza di</w:t>
            </w:r>
            <w:r w:rsidR="008856BC" w:rsidRPr="001876E5">
              <w:rPr>
                <w:rFonts w:ascii="Fira Sans" w:eastAsia="Century" w:hAnsi="Fira Sans" w:cs="Century"/>
                <w:szCs w:val="20"/>
              </w:rPr>
              <w:t xml:space="preserve"> particolari criticità tali da richiedere specifiche misure di correzione.</w:t>
            </w:r>
          </w:p>
          <w:p w14:paraId="1494B188" w14:textId="77777777" w:rsidR="008856BC" w:rsidRPr="00764840" w:rsidRDefault="008856BC" w:rsidP="008856BC">
            <w:pPr>
              <w:spacing w:line="240" w:lineRule="atLeast"/>
              <w:jc w:val="both"/>
              <w:rPr>
                <w:rFonts w:ascii="Fira Sans" w:eastAsia="Century" w:hAnsi="Fira Sans" w:cs="Century"/>
                <w:szCs w:val="20"/>
              </w:rPr>
            </w:pPr>
            <w:r w:rsidRPr="00764840">
              <w:rPr>
                <w:rFonts w:ascii="Fira Sans" w:eastAsia="Century" w:hAnsi="Fira Sans" w:cs="Century"/>
                <w:b/>
                <w:bCs/>
                <w:szCs w:val="20"/>
              </w:rPr>
              <w:t>iC04: Percentuale iscritti al primo anno laureati in altro Ateneo</w:t>
            </w:r>
          </w:p>
          <w:p w14:paraId="276B7B0F" w14:textId="3FF0A1B0" w:rsidR="008856BC" w:rsidRPr="001876E5" w:rsidRDefault="008856BC" w:rsidP="008856BC">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 xml:space="preserve">La percentuale di studenti iscritti al primo anno del CdS EMMP provenienti da altri Atenei presenta un andamento </w:t>
            </w:r>
            <w:r w:rsidR="00764840" w:rsidRPr="001876E5">
              <w:rPr>
                <w:rFonts w:ascii="Fira Sans" w:eastAsia="Century" w:hAnsi="Fira Sans" w:cs="Century"/>
                <w:szCs w:val="20"/>
              </w:rPr>
              <w:t>in</w:t>
            </w:r>
            <w:r w:rsidRPr="001876E5">
              <w:rPr>
                <w:rFonts w:ascii="Fira Sans" w:eastAsia="Century" w:hAnsi="Fira Sans" w:cs="Century"/>
                <w:szCs w:val="20"/>
              </w:rPr>
              <w:t>costante nel corso degli anni (16,7% nel 2017, 12,7% nel 2018, 4,2% nel 2019 e 6,0% nel 2020</w:t>
            </w:r>
            <w:r w:rsidR="00DB2707" w:rsidRPr="001876E5">
              <w:rPr>
                <w:rFonts w:ascii="Fira Sans" w:eastAsia="Century" w:hAnsi="Fira Sans" w:cs="Century"/>
                <w:szCs w:val="20"/>
              </w:rPr>
              <w:t>, 14,1% nel 2021</w:t>
            </w:r>
            <w:r w:rsidRPr="001876E5">
              <w:rPr>
                <w:rFonts w:ascii="Fira Sans" w:eastAsia="Century" w:hAnsi="Fira Sans" w:cs="Century"/>
                <w:szCs w:val="20"/>
              </w:rPr>
              <w:t xml:space="preserve">), posizionandosi sempre molto al di sotto delle medie </w:t>
            </w:r>
            <w:r w:rsidR="00BA7408" w:rsidRPr="001876E5">
              <w:rPr>
                <w:rFonts w:ascii="Fira Sans" w:eastAsia="Century" w:hAnsi="Fira Sans" w:cs="Century"/>
                <w:szCs w:val="20"/>
              </w:rPr>
              <w:t>dell’area</w:t>
            </w:r>
            <w:r w:rsidRPr="001876E5">
              <w:rPr>
                <w:rFonts w:ascii="Fira Sans" w:eastAsia="Century" w:hAnsi="Fira Sans" w:cs="Century"/>
                <w:szCs w:val="20"/>
              </w:rPr>
              <w:t xml:space="preserve"> geografica</w:t>
            </w:r>
            <w:r w:rsidR="00764840" w:rsidRPr="001876E5">
              <w:rPr>
                <w:rFonts w:ascii="Fira Sans" w:eastAsia="Century" w:hAnsi="Fira Sans" w:cs="Century"/>
                <w:szCs w:val="20"/>
              </w:rPr>
              <w:t xml:space="preserve"> (queste ultime</w:t>
            </w:r>
            <w:r w:rsidR="00BA7408" w:rsidRPr="001876E5">
              <w:rPr>
                <w:rFonts w:ascii="Fira Sans" w:eastAsia="Century" w:hAnsi="Fira Sans" w:cs="Century"/>
                <w:szCs w:val="20"/>
              </w:rPr>
              <w:t xml:space="preserve"> </w:t>
            </w:r>
            <w:r w:rsidR="00DB2707" w:rsidRPr="001876E5">
              <w:rPr>
                <w:rFonts w:ascii="Fira Sans" w:eastAsia="Century" w:hAnsi="Fira Sans" w:cs="Century"/>
                <w:szCs w:val="20"/>
              </w:rPr>
              <w:t>oscillanti</w:t>
            </w:r>
            <w:r w:rsidR="00BA7408" w:rsidRPr="001876E5">
              <w:rPr>
                <w:rFonts w:ascii="Fira Sans" w:eastAsia="Century" w:hAnsi="Fira Sans" w:cs="Century"/>
                <w:szCs w:val="20"/>
              </w:rPr>
              <w:t xml:space="preserve"> tra </w:t>
            </w:r>
            <w:r w:rsidR="00DB2707" w:rsidRPr="001876E5">
              <w:rPr>
                <w:rFonts w:ascii="Fira Sans" w:eastAsia="Century" w:hAnsi="Fira Sans" w:cs="Century"/>
                <w:szCs w:val="20"/>
              </w:rPr>
              <w:t>il 35% e il 38% circa)</w:t>
            </w:r>
            <w:r w:rsidRPr="001876E5">
              <w:rPr>
                <w:rFonts w:ascii="Fira Sans" w:eastAsia="Century" w:hAnsi="Fira Sans" w:cs="Century"/>
                <w:szCs w:val="20"/>
              </w:rPr>
              <w:t xml:space="preserve">. </w:t>
            </w:r>
          </w:p>
          <w:p w14:paraId="615CC151" w14:textId="160C3D0D" w:rsidR="008856BC" w:rsidRPr="001876E5" w:rsidRDefault="00DB2707" w:rsidP="00DB2707">
            <w:pPr>
              <w:spacing w:line="240" w:lineRule="atLeast"/>
              <w:ind w:firstLine="284"/>
              <w:jc w:val="both"/>
              <w:rPr>
                <w:rFonts w:ascii="Fira Sans" w:eastAsia="Century" w:hAnsi="Fira Sans" w:cs="Century"/>
                <w:strike/>
                <w:szCs w:val="20"/>
              </w:rPr>
            </w:pPr>
            <w:r w:rsidRPr="001876E5">
              <w:rPr>
                <w:rFonts w:ascii="Fira Sans" w:eastAsia="Century" w:hAnsi="Fira Sans" w:cs="Century"/>
                <w:szCs w:val="20"/>
              </w:rPr>
              <w:t xml:space="preserve">Nonostante la positiva constatazione di un </w:t>
            </w:r>
            <w:r w:rsidR="00AC0FE1" w:rsidRPr="001876E5">
              <w:rPr>
                <w:rFonts w:ascii="Fira Sans" w:eastAsia="Century" w:hAnsi="Fira Sans" w:cs="Century"/>
                <w:szCs w:val="20"/>
              </w:rPr>
              <w:t>buon</w:t>
            </w:r>
            <w:r w:rsidRPr="001876E5">
              <w:rPr>
                <w:rFonts w:ascii="Fira Sans" w:eastAsia="Century" w:hAnsi="Fira Sans" w:cs="Century"/>
                <w:szCs w:val="20"/>
              </w:rPr>
              <w:t xml:space="preserve"> aumento del dato nell’ultimo anno di rilevazione, resta l’impegno del CCS </w:t>
            </w:r>
            <w:r w:rsidR="00A310D0" w:rsidRPr="001876E5">
              <w:rPr>
                <w:rFonts w:ascii="Fira Sans" w:eastAsia="Century" w:hAnsi="Fira Sans" w:cs="Century"/>
                <w:szCs w:val="20"/>
              </w:rPr>
              <w:t xml:space="preserve">EMMP </w:t>
            </w:r>
            <w:r w:rsidRPr="001876E5">
              <w:rPr>
                <w:rFonts w:ascii="Fira Sans" w:eastAsia="Century" w:hAnsi="Fira Sans" w:cs="Century"/>
                <w:szCs w:val="20"/>
              </w:rPr>
              <w:t xml:space="preserve">a mantenere e rafforzare misure che possano migliorare l’indicatore, </w:t>
            </w:r>
            <w:r w:rsidR="00AC0FE1" w:rsidRPr="001876E5">
              <w:rPr>
                <w:rFonts w:ascii="Fira Sans" w:eastAsia="Century" w:hAnsi="Fira Sans" w:cs="Century"/>
                <w:szCs w:val="20"/>
              </w:rPr>
              <w:t>tra cui</w:t>
            </w:r>
            <w:r w:rsidRPr="001876E5">
              <w:rPr>
                <w:rFonts w:ascii="Fira Sans" w:eastAsia="Century" w:hAnsi="Fira Sans" w:cs="Century"/>
                <w:szCs w:val="20"/>
              </w:rPr>
              <w:t xml:space="preserve"> la fissazione di</w:t>
            </w:r>
            <w:r w:rsidR="008856BC" w:rsidRPr="001876E5">
              <w:rPr>
                <w:rFonts w:ascii="Fira Sans" w:eastAsia="Century" w:hAnsi="Fira Sans" w:cs="Century"/>
                <w:szCs w:val="20"/>
              </w:rPr>
              <w:t xml:space="preserve"> appelli straordinari per gli studenti “in carriera ponte” relativi a insegnamenti più frequentemente in debito</w:t>
            </w:r>
            <w:r w:rsidR="00A310D0" w:rsidRPr="001876E5">
              <w:rPr>
                <w:rFonts w:ascii="Fira Sans" w:eastAsia="Century" w:hAnsi="Fira Sans" w:cs="Century"/>
                <w:szCs w:val="20"/>
              </w:rPr>
              <w:t>.</w:t>
            </w:r>
          </w:p>
          <w:p w14:paraId="3EE31C65" w14:textId="0687003E" w:rsidR="00764840" w:rsidRPr="001876E5" w:rsidRDefault="00A310D0" w:rsidP="00764840">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 xml:space="preserve">Purtroppo sulla scarsa attrattività del CdS EMMP nei confronti di laureati triennali </w:t>
            </w:r>
            <w:r w:rsidR="00764840" w:rsidRPr="001876E5">
              <w:rPr>
                <w:rFonts w:ascii="Fira Sans" w:eastAsia="Century" w:hAnsi="Fira Sans" w:cs="Century"/>
                <w:szCs w:val="20"/>
              </w:rPr>
              <w:t xml:space="preserve">provenienti da </w:t>
            </w:r>
            <w:r w:rsidR="00AC0FE1" w:rsidRPr="001876E5">
              <w:rPr>
                <w:rFonts w:ascii="Fira Sans" w:eastAsia="Century" w:hAnsi="Fira Sans" w:cs="Century"/>
                <w:szCs w:val="20"/>
              </w:rPr>
              <w:t>altre città italiane</w:t>
            </w:r>
            <w:r w:rsidR="00764840" w:rsidRPr="001876E5">
              <w:rPr>
                <w:rFonts w:ascii="Fira Sans" w:eastAsia="Century" w:hAnsi="Fira Sans" w:cs="Century"/>
                <w:szCs w:val="20"/>
              </w:rPr>
              <w:t xml:space="preserve"> incidono fattori – quali l’incertezza dell’evolversi della situazione pandemica, la difficoltà e i costi di alloggio nella città di Genova – che sono al di fuori del controllo del CCS.</w:t>
            </w:r>
          </w:p>
          <w:p w14:paraId="192DF925" w14:textId="35126E60" w:rsidR="008856BC" w:rsidRPr="001876E5" w:rsidRDefault="00764840" w:rsidP="008856BC">
            <w:pPr>
              <w:spacing w:after="120" w:line="240" w:lineRule="atLeast"/>
              <w:ind w:firstLine="284"/>
              <w:jc w:val="both"/>
              <w:rPr>
                <w:rFonts w:ascii="Fira Sans" w:eastAsia="Century" w:hAnsi="Fira Sans" w:cs="Century"/>
                <w:szCs w:val="20"/>
              </w:rPr>
            </w:pPr>
            <w:r w:rsidRPr="001876E5">
              <w:rPr>
                <w:rFonts w:ascii="Fira Sans" w:eastAsia="Century" w:hAnsi="Fira Sans" w:cs="Century"/>
                <w:szCs w:val="20"/>
              </w:rPr>
              <w:t>In ogni caso i</w:t>
            </w:r>
            <w:r w:rsidR="008856BC" w:rsidRPr="001876E5">
              <w:rPr>
                <w:rFonts w:ascii="Fira Sans" w:eastAsia="Century" w:hAnsi="Fira Sans" w:cs="Century"/>
                <w:szCs w:val="20"/>
              </w:rPr>
              <w:t xml:space="preserve">l CCS ribadisce </w:t>
            </w:r>
            <w:r w:rsidR="00A310D0" w:rsidRPr="001876E5">
              <w:rPr>
                <w:rFonts w:ascii="Fira Sans" w:eastAsia="Century" w:hAnsi="Fira Sans" w:cs="Century"/>
                <w:szCs w:val="20"/>
              </w:rPr>
              <w:t>nuovamente</w:t>
            </w:r>
            <w:r w:rsidR="008856BC" w:rsidRPr="001876E5">
              <w:rPr>
                <w:rFonts w:ascii="Fira Sans" w:eastAsia="Century" w:hAnsi="Fira Sans" w:cs="Century"/>
                <w:szCs w:val="20"/>
              </w:rPr>
              <w:t xml:space="preserve"> </w:t>
            </w:r>
            <w:r w:rsidRPr="001876E5">
              <w:rPr>
                <w:rFonts w:ascii="Fira Sans" w:eastAsia="Century" w:hAnsi="Fira Sans" w:cs="Century"/>
                <w:szCs w:val="20"/>
              </w:rPr>
              <w:t>il suo impegno a</w:t>
            </w:r>
            <w:r w:rsidR="008856BC" w:rsidRPr="001876E5">
              <w:rPr>
                <w:rFonts w:ascii="Fira Sans" w:eastAsia="Century" w:hAnsi="Fira Sans" w:cs="Century"/>
                <w:szCs w:val="20"/>
              </w:rPr>
              <w:t xml:space="preserve"> sostenere tutte le iniziative dell’Ateneo volte a far conoscere l’offerta formativa genovese </w:t>
            </w:r>
            <w:r w:rsidR="001876E5" w:rsidRPr="001876E5">
              <w:rPr>
                <w:rFonts w:ascii="Fira Sans" w:eastAsia="Century" w:hAnsi="Fira Sans" w:cs="Century"/>
                <w:szCs w:val="20"/>
              </w:rPr>
              <w:t>–</w:t>
            </w:r>
            <w:r w:rsidR="008856BC" w:rsidRPr="001876E5">
              <w:rPr>
                <w:rFonts w:ascii="Fira Sans" w:eastAsia="Century" w:hAnsi="Fira Sans" w:cs="Century"/>
                <w:szCs w:val="20"/>
              </w:rPr>
              <w:t xml:space="preserve"> e quindi anche del CdS EMMP </w:t>
            </w:r>
            <w:r w:rsidR="001876E5" w:rsidRPr="001876E5">
              <w:rPr>
                <w:rFonts w:ascii="Fira Sans" w:eastAsia="Century" w:hAnsi="Fira Sans" w:cs="Century"/>
                <w:szCs w:val="20"/>
              </w:rPr>
              <w:t>–</w:t>
            </w:r>
            <w:r w:rsidR="008856BC" w:rsidRPr="001876E5">
              <w:rPr>
                <w:rFonts w:ascii="Fira Sans" w:eastAsia="Century" w:hAnsi="Fira Sans" w:cs="Century"/>
                <w:szCs w:val="20"/>
              </w:rPr>
              <w:t xml:space="preserve"> fuori Regione e a supportare gli studenti che si trasferiscono a Genova per svolgere il loro percorso di studi. </w:t>
            </w:r>
          </w:p>
          <w:p w14:paraId="13BBD231" w14:textId="77777777" w:rsidR="008856BC" w:rsidRPr="00B62BDF" w:rsidRDefault="008856BC" w:rsidP="008856BC">
            <w:pPr>
              <w:spacing w:line="240" w:lineRule="atLeast"/>
              <w:jc w:val="both"/>
              <w:rPr>
                <w:rFonts w:ascii="Fira Sans" w:eastAsia="Century" w:hAnsi="Fira Sans" w:cs="Century"/>
                <w:szCs w:val="20"/>
              </w:rPr>
            </w:pPr>
            <w:r w:rsidRPr="00B62BDF">
              <w:rPr>
                <w:rFonts w:ascii="Fira Sans" w:eastAsia="Century" w:hAnsi="Fira Sans" w:cs="Century"/>
                <w:b/>
                <w:bCs/>
                <w:szCs w:val="20"/>
              </w:rPr>
              <w:t>iC07: Percentuale di laureati occupati a tre anni dal Titolo (LM; LMCU) – Laureati che dichiarano di svolgere un’attività lavorativa o di formazione retribuita (es. dottorato con borsa, specializzazione in medicina, ecc.).</w:t>
            </w:r>
          </w:p>
          <w:p w14:paraId="277B5BCC" w14:textId="62813BD6" w:rsidR="008856BC" w:rsidRPr="001876E5" w:rsidRDefault="008856BC" w:rsidP="008856BC">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Nel corso degli anni l’indicatore concernente la percentuale di laureati occupati a tre anni dal conseguimento della laurea magistrale in EMMP, pur con qualche oscillazione</w:t>
            </w:r>
            <w:r w:rsidR="00B62BDF" w:rsidRPr="001876E5">
              <w:rPr>
                <w:rFonts w:ascii="Fira Sans" w:eastAsia="Century" w:hAnsi="Fira Sans" w:cs="Century"/>
                <w:szCs w:val="20"/>
              </w:rPr>
              <w:t xml:space="preserve"> (85,7% nel 2018, 100,0% nel 2019 e 93,8% nel 2020, 100,0% nel 2021)</w:t>
            </w:r>
            <w:r w:rsidRPr="001876E5">
              <w:rPr>
                <w:rFonts w:ascii="Fira Sans" w:eastAsia="Century" w:hAnsi="Fira Sans" w:cs="Century"/>
                <w:szCs w:val="20"/>
              </w:rPr>
              <w:t xml:space="preserve">, </w:t>
            </w:r>
            <w:r w:rsidR="00845AED" w:rsidRPr="001876E5">
              <w:rPr>
                <w:rFonts w:ascii="Fira Sans" w:eastAsia="Century" w:hAnsi="Fira Sans" w:cs="Century"/>
                <w:szCs w:val="20"/>
              </w:rPr>
              <w:t>presenta</w:t>
            </w:r>
            <w:r w:rsidR="00B62BDF" w:rsidRPr="001876E5">
              <w:rPr>
                <w:rFonts w:ascii="Fira Sans" w:eastAsia="Century" w:hAnsi="Fira Sans" w:cs="Century"/>
                <w:szCs w:val="20"/>
              </w:rPr>
              <w:t xml:space="preserve"> percentuali</w:t>
            </w:r>
            <w:r w:rsidRPr="001876E5">
              <w:rPr>
                <w:rFonts w:ascii="Fira Sans" w:eastAsia="Century" w:hAnsi="Fira Sans" w:cs="Century"/>
                <w:szCs w:val="20"/>
              </w:rPr>
              <w:t xml:space="preserve"> molto </w:t>
            </w:r>
            <w:r w:rsidR="00B62BDF" w:rsidRPr="001876E5">
              <w:rPr>
                <w:rFonts w:ascii="Fira Sans" w:eastAsia="Century" w:hAnsi="Fira Sans" w:cs="Century"/>
                <w:szCs w:val="20"/>
              </w:rPr>
              <w:t xml:space="preserve">elevate, posizionandosi </w:t>
            </w:r>
            <w:r w:rsidR="00845AED" w:rsidRPr="001876E5">
              <w:rPr>
                <w:rFonts w:ascii="Fira Sans" w:eastAsia="Century" w:hAnsi="Fira Sans" w:cs="Century"/>
                <w:szCs w:val="20"/>
              </w:rPr>
              <w:t>sempre</w:t>
            </w:r>
            <w:r w:rsidR="00B62BDF" w:rsidRPr="001876E5">
              <w:rPr>
                <w:rFonts w:ascii="Fira Sans" w:eastAsia="Century" w:hAnsi="Fira Sans" w:cs="Century"/>
                <w:szCs w:val="20"/>
              </w:rPr>
              <w:t xml:space="preserve"> sopra le medie dell’a</w:t>
            </w:r>
            <w:r w:rsidRPr="001876E5">
              <w:rPr>
                <w:rFonts w:ascii="Fira Sans" w:eastAsia="Century" w:hAnsi="Fira Sans" w:cs="Century"/>
                <w:szCs w:val="20"/>
              </w:rPr>
              <w:t>rea geografica</w:t>
            </w:r>
            <w:r w:rsidR="00B62BDF" w:rsidRPr="001876E5">
              <w:rPr>
                <w:rFonts w:ascii="Fira Sans" w:eastAsia="Century" w:hAnsi="Fira Sans" w:cs="Century"/>
                <w:szCs w:val="20"/>
              </w:rPr>
              <w:t xml:space="preserve"> e </w:t>
            </w:r>
            <w:r w:rsidR="00845AED" w:rsidRPr="001876E5">
              <w:rPr>
                <w:rFonts w:ascii="Fira Sans" w:eastAsia="Century" w:hAnsi="Fira Sans" w:cs="Century"/>
                <w:szCs w:val="20"/>
              </w:rPr>
              <w:t>tendenzialmente allineandosi</w:t>
            </w:r>
            <w:r w:rsidR="00B62BDF" w:rsidRPr="001876E5">
              <w:rPr>
                <w:rFonts w:ascii="Fira Sans" w:eastAsia="Century" w:hAnsi="Fira Sans" w:cs="Century"/>
                <w:szCs w:val="20"/>
              </w:rPr>
              <w:t xml:space="preserve"> a quelle di Ateneo</w:t>
            </w:r>
            <w:r w:rsidRPr="001876E5">
              <w:rPr>
                <w:rFonts w:ascii="Fira Sans" w:eastAsia="Century" w:hAnsi="Fira Sans" w:cs="Century"/>
                <w:szCs w:val="20"/>
              </w:rPr>
              <w:t>.</w:t>
            </w:r>
            <w:r w:rsidR="00B62BDF" w:rsidRPr="001876E5">
              <w:rPr>
                <w:rFonts w:ascii="Fira Sans" w:eastAsia="Century" w:hAnsi="Fira Sans" w:cs="Century"/>
                <w:szCs w:val="20"/>
              </w:rPr>
              <w:t xml:space="preserve"> </w:t>
            </w:r>
          </w:p>
          <w:p w14:paraId="427D6B37" w14:textId="3E9B8C5E" w:rsidR="008856BC" w:rsidRPr="001876E5" w:rsidRDefault="008856BC" w:rsidP="00845AED">
            <w:pPr>
              <w:spacing w:after="120" w:line="240" w:lineRule="atLeast"/>
              <w:ind w:firstLine="284"/>
              <w:jc w:val="both"/>
              <w:rPr>
                <w:rFonts w:ascii="Fira Sans" w:eastAsia="Century" w:hAnsi="Fira Sans" w:cs="Century"/>
                <w:szCs w:val="20"/>
              </w:rPr>
            </w:pPr>
            <w:r w:rsidRPr="001876E5">
              <w:rPr>
                <w:rFonts w:ascii="Fira Sans" w:eastAsia="Century" w:hAnsi="Fira Sans" w:cs="Century"/>
                <w:szCs w:val="20"/>
              </w:rPr>
              <w:t>Questo</w:t>
            </w:r>
            <w:r w:rsidR="00B62BDF" w:rsidRPr="001876E5">
              <w:rPr>
                <w:rFonts w:ascii="Fira Sans" w:eastAsia="Century" w:hAnsi="Fira Sans" w:cs="Century"/>
                <w:szCs w:val="20"/>
              </w:rPr>
              <w:t xml:space="preserve"> positivo</w:t>
            </w:r>
            <w:r w:rsidRPr="001876E5">
              <w:rPr>
                <w:rFonts w:ascii="Fira Sans" w:eastAsia="Century" w:hAnsi="Fira Sans" w:cs="Century"/>
                <w:szCs w:val="20"/>
              </w:rPr>
              <w:t xml:space="preserve"> indicatore </w:t>
            </w:r>
            <w:r w:rsidR="00B62BDF" w:rsidRPr="001876E5">
              <w:rPr>
                <w:rFonts w:ascii="Fira Sans" w:eastAsia="Century" w:hAnsi="Fira Sans" w:cs="Century"/>
                <w:szCs w:val="20"/>
              </w:rPr>
              <w:t>rappresenta</w:t>
            </w:r>
            <w:r w:rsidRPr="001876E5">
              <w:rPr>
                <w:rFonts w:ascii="Fira Sans" w:eastAsia="Century" w:hAnsi="Fira Sans" w:cs="Century"/>
                <w:szCs w:val="20"/>
              </w:rPr>
              <w:t xml:space="preserve"> uno dei </w:t>
            </w:r>
            <w:r w:rsidR="00AC0FE1" w:rsidRPr="001876E5">
              <w:rPr>
                <w:rFonts w:ascii="Fira Sans" w:eastAsia="Century" w:hAnsi="Fira Sans" w:cs="Century"/>
                <w:szCs w:val="20"/>
              </w:rPr>
              <w:t>r</w:t>
            </w:r>
            <w:r w:rsidR="00B62BDF" w:rsidRPr="001876E5">
              <w:rPr>
                <w:rFonts w:ascii="Fira Sans" w:eastAsia="Century" w:hAnsi="Fira Sans" w:cs="Century"/>
                <w:szCs w:val="20"/>
              </w:rPr>
              <w:t xml:space="preserve">ilevanti </w:t>
            </w:r>
            <w:r w:rsidRPr="001876E5">
              <w:rPr>
                <w:rFonts w:ascii="Fira Sans" w:eastAsia="Century" w:hAnsi="Fira Sans" w:cs="Century"/>
                <w:szCs w:val="20"/>
              </w:rPr>
              <w:t>punti di forza del CdS EMMP.</w:t>
            </w:r>
            <w:r w:rsidR="00845AED" w:rsidRPr="001876E5">
              <w:rPr>
                <w:rFonts w:ascii="Fira Sans" w:eastAsia="Century" w:hAnsi="Fira Sans" w:cs="Century"/>
                <w:szCs w:val="20"/>
              </w:rPr>
              <w:t xml:space="preserve"> Basti considerare che per ben due anni su quattro, compreso l’ultimo anno di rilevazione del dato, risulta che tutti i laureati in EMMP sono occupati a tre anni dal conseguimento del titolo di laurea.</w:t>
            </w:r>
          </w:p>
          <w:p w14:paraId="6086E91B" w14:textId="77777777" w:rsidR="008856BC" w:rsidRPr="00F01DF9" w:rsidRDefault="008856BC" w:rsidP="008856BC">
            <w:pPr>
              <w:spacing w:line="240" w:lineRule="atLeast"/>
              <w:jc w:val="both"/>
              <w:rPr>
                <w:rFonts w:ascii="Fira Sans" w:eastAsia="Century" w:hAnsi="Fira Sans" w:cs="Century"/>
                <w:szCs w:val="20"/>
              </w:rPr>
            </w:pPr>
            <w:r w:rsidRPr="00F01DF9">
              <w:rPr>
                <w:rFonts w:ascii="Fira Sans" w:eastAsia="Century" w:hAnsi="Fira Sans" w:cs="Century"/>
                <w:b/>
                <w:bCs/>
                <w:szCs w:val="20"/>
              </w:rPr>
              <w:t>iC08: Percentuale dei docenti di ruolo che appartengono a settori scientifico-disciplinari (SSD) di base e caratterizzanti per Corso di studio di cui sono docenti di riferimento</w:t>
            </w:r>
          </w:p>
          <w:p w14:paraId="32A99FA1" w14:textId="388BADC9" w:rsidR="008856BC" w:rsidRPr="001876E5" w:rsidRDefault="008856BC" w:rsidP="008856BC">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Negli ultimi cinque anni (dal 201</w:t>
            </w:r>
            <w:r w:rsidR="004C6C11" w:rsidRPr="001876E5">
              <w:rPr>
                <w:rFonts w:ascii="Fira Sans" w:eastAsia="Century" w:hAnsi="Fira Sans" w:cs="Century"/>
                <w:szCs w:val="20"/>
              </w:rPr>
              <w:t>7</w:t>
            </w:r>
            <w:r w:rsidRPr="001876E5">
              <w:rPr>
                <w:rFonts w:ascii="Fira Sans" w:eastAsia="Century" w:hAnsi="Fira Sans" w:cs="Century"/>
                <w:szCs w:val="20"/>
              </w:rPr>
              <w:t xml:space="preserve"> al 202</w:t>
            </w:r>
            <w:r w:rsidR="004C6C11" w:rsidRPr="001876E5">
              <w:rPr>
                <w:rFonts w:ascii="Fira Sans" w:eastAsia="Century" w:hAnsi="Fira Sans" w:cs="Century"/>
                <w:szCs w:val="20"/>
              </w:rPr>
              <w:t>1</w:t>
            </w:r>
            <w:r w:rsidRPr="001876E5">
              <w:rPr>
                <w:rFonts w:ascii="Fira Sans" w:eastAsia="Century" w:hAnsi="Fira Sans" w:cs="Century"/>
                <w:szCs w:val="20"/>
              </w:rPr>
              <w:t xml:space="preserve">) la percentuale dei docenti di ruolo appartenenti a SSD di base e caratterizzanti per il CdS EMMP di cui sono docenti di riferimento è rimasta sempre pari al 100%, </w:t>
            </w:r>
            <w:r w:rsidRPr="001876E5">
              <w:rPr>
                <w:rFonts w:ascii="Fira Sans" w:eastAsia="Century" w:hAnsi="Fira Sans" w:cs="Century"/>
                <w:szCs w:val="20"/>
              </w:rPr>
              <w:lastRenderedPageBreak/>
              <w:t xml:space="preserve">ponendosi sopra le medie </w:t>
            </w:r>
            <w:r w:rsidR="001876E5" w:rsidRPr="001876E5">
              <w:rPr>
                <w:rFonts w:ascii="Fira Sans" w:eastAsia="Century" w:hAnsi="Fira Sans" w:cs="Century"/>
                <w:szCs w:val="20"/>
              </w:rPr>
              <w:t>di tutti gli</w:t>
            </w:r>
            <w:r w:rsidRPr="001876E5">
              <w:rPr>
                <w:rFonts w:ascii="Fira Sans" w:eastAsia="Century" w:hAnsi="Fira Sans" w:cs="Century"/>
                <w:szCs w:val="20"/>
              </w:rPr>
              <w:t xml:space="preserve"> altri aggregati.</w:t>
            </w:r>
          </w:p>
          <w:p w14:paraId="305DAFC4" w14:textId="09377751" w:rsidR="008856BC" w:rsidRPr="001876E5" w:rsidRDefault="004C6C11" w:rsidP="008856BC">
            <w:pPr>
              <w:spacing w:line="240" w:lineRule="atLeast"/>
              <w:ind w:firstLine="284"/>
              <w:jc w:val="both"/>
              <w:rPr>
                <w:rFonts w:ascii="Fira Sans" w:eastAsia="Century" w:hAnsi="Fira Sans" w:cs="Century"/>
                <w:szCs w:val="20"/>
              </w:rPr>
            </w:pPr>
            <w:r w:rsidRPr="001876E5">
              <w:rPr>
                <w:rFonts w:ascii="Fira Sans" w:eastAsia="Century" w:hAnsi="Fira Sans" w:cs="Century"/>
                <w:szCs w:val="20"/>
              </w:rPr>
              <w:t xml:space="preserve">Questo indicatore testimonia un altro importante punto di forza del CdS EMMP. </w:t>
            </w:r>
            <w:r w:rsidR="008856BC" w:rsidRPr="001876E5">
              <w:rPr>
                <w:rFonts w:ascii="Fira Sans" w:eastAsia="Century" w:hAnsi="Fira Sans" w:cs="Century"/>
                <w:szCs w:val="20"/>
              </w:rPr>
              <w:t xml:space="preserve">La totale copertura degli insegnamenti </w:t>
            </w:r>
            <w:r w:rsidR="008F657F">
              <w:rPr>
                <w:rFonts w:ascii="Fira Sans" w:eastAsia="Century" w:hAnsi="Fira Sans" w:cs="Century"/>
                <w:szCs w:val="20"/>
              </w:rPr>
              <w:t xml:space="preserve">di base e </w:t>
            </w:r>
            <w:r w:rsidR="008856BC" w:rsidRPr="001876E5">
              <w:rPr>
                <w:rFonts w:ascii="Fira Sans" w:eastAsia="Century" w:hAnsi="Fira Sans" w:cs="Century"/>
                <w:szCs w:val="20"/>
              </w:rPr>
              <w:t xml:space="preserve">caratterizzanti da parte di docenti di ruolo </w:t>
            </w:r>
            <w:r w:rsidRPr="001876E5">
              <w:rPr>
                <w:rFonts w:ascii="Fira Sans" w:eastAsia="Century" w:hAnsi="Fira Sans" w:cs="Century"/>
                <w:szCs w:val="20"/>
              </w:rPr>
              <w:t>rappresenta, infatti,</w:t>
            </w:r>
            <w:r w:rsidR="008856BC" w:rsidRPr="001876E5">
              <w:rPr>
                <w:rFonts w:ascii="Fira Sans" w:eastAsia="Century" w:hAnsi="Fira Sans" w:cs="Century"/>
                <w:szCs w:val="20"/>
              </w:rPr>
              <w:t xml:space="preserve"> un aspetto </w:t>
            </w:r>
            <w:r w:rsidR="00F01DF9" w:rsidRPr="001876E5">
              <w:rPr>
                <w:rFonts w:ascii="Fira Sans" w:eastAsia="Century" w:hAnsi="Fira Sans" w:cs="Century"/>
                <w:szCs w:val="20"/>
              </w:rPr>
              <w:t xml:space="preserve">decisamente </w:t>
            </w:r>
            <w:r w:rsidR="008856BC" w:rsidRPr="001876E5">
              <w:rPr>
                <w:rFonts w:ascii="Fira Sans" w:eastAsia="Century" w:hAnsi="Fira Sans" w:cs="Century"/>
                <w:szCs w:val="20"/>
              </w:rPr>
              <w:t>molto positivo</w:t>
            </w:r>
            <w:r w:rsidR="00F01DF9" w:rsidRPr="001876E5">
              <w:rPr>
                <w:rFonts w:ascii="Fira Sans" w:eastAsia="Century" w:hAnsi="Fira Sans" w:cs="Century"/>
                <w:szCs w:val="20"/>
              </w:rPr>
              <w:t>,</w:t>
            </w:r>
            <w:r w:rsidR="008856BC" w:rsidRPr="001876E5">
              <w:rPr>
                <w:rFonts w:ascii="Fira Sans" w:eastAsia="Century" w:hAnsi="Fira Sans" w:cs="Century"/>
                <w:szCs w:val="20"/>
              </w:rPr>
              <w:t xml:space="preserve"> proprio </w:t>
            </w:r>
            <w:r w:rsidR="00F01DF9" w:rsidRPr="001876E5">
              <w:rPr>
                <w:rFonts w:ascii="Fira Sans" w:eastAsia="Century" w:hAnsi="Fira Sans" w:cs="Century"/>
                <w:szCs w:val="20"/>
              </w:rPr>
              <w:t xml:space="preserve">di questo </w:t>
            </w:r>
            <w:r w:rsidR="00F01DF9" w:rsidRPr="001876E5">
              <w:rPr>
                <w:rFonts w:ascii="Fira Sans" w:eastAsia="Century" w:hAnsi="Fira Sans" w:cs="Century"/>
                <w:caps/>
                <w:szCs w:val="20"/>
              </w:rPr>
              <w:t>c</w:t>
            </w:r>
            <w:r w:rsidR="00F01DF9" w:rsidRPr="001876E5">
              <w:rPr>
                <w:rFonts w:ascii="Fira Sans" w:eastAsia="Century" w:hAnsi="Fira Sans" w:cs="Century"/>
                <w:szCs w:val="20"/>
              </w:rPr>
              <w:t>orso di laurea magistrale</w:t>
            </w:r>
            <w:r w:rsidR="008856BC" w:rsidRPr="001876E5">
              <w:rPr>
                <w:rFonts w:ascii="Fira Sans" w:eastAsia="Century" w:hAnsi="Fira Sans" w:cs="Century"/>
                <w:szCs w:val="20"/>
              </w:rPr>
              <w:t xml:space="preserve">, </w:t>
            </w:r>
            <w:r w:rsidR="00F01DF9" w:rsidRPr="001876E5">
              <w:rPr>
                <w:rFonts w:ascii="Fira Sans" w:eastAsia="Century" w:hAnsi="Fira Sans" w:cs="Century"/>
                <w:szCs w:val="20"/>
              </w:rPr>
              <w:t>caratterizzato da</w:t>
            </w:r>
            <w:r w:rsidR="008856BC" w:rsidRPr="001876E5">
              <w:rPr>
                <w:rFonts w:ascii="Fira Sans" w:eastAsia="Century" w:hAnsi="Fira Sans" w:cs="Century"/>
                <w:szCs w:val="20"/>
              </w:rPr>
              <w:t xml:space="preserve"> </w:t>
            </w:r>
            <w:r w:rsidR="00F01DF9" w:rsidRPr="001876E5">
              <w:rPr>
                <w:rFonts w:ascii="Fira Sans" w:eastAsia="Century" w:hAnsi="Fira Sans" w:cs="Century"/>
                <w:szCs w:val="20"/>
              </w:rPr>
              <w:t xml:space="preserve">un </w:t>
            </w:r>
            <w:r w:rsidR="008856BC" w:rsidRPr="001876E5">
              <w:rPr>
                <w:rFonts w:ascii="Fira Sans" w:eastAsia="Century" w:hAnsi="Fira Sans" w:cs="Century"/>
                <w:szCs w:val="20"/>
              </w:rPr>
              <w:t>percorso formativo</w:t>
            </w:r>
            <w:r w:rsidR="00F01DF9" w:rsidRPr="001876E5">
              <w:rPr>
                <w:rFonts w:ascii="Fira Sans" w:eastAsia="Century" w:hAnsi="Fira Sans" w:cs="Century"/>
                <w:szCs w:val="20"/>
              </w:rPr>
              <w:t xml:space="preserve"> molto</w:t>
            </w:r>
            <w:r w:rsidR="008856BC" w:rsidRPr="001876E5">
              <w:rPr>
                <w:rFonts w:ascii="Fira Sans" w:eastAsia="Century" w:hAnsi="Fira Sans" w:cs="Century"/>
                <w:szCs w:val="20"/>
              </w:rPr>
              <w:t xml:space="preserve"> specializzato, che richiede competenze specifiche da parte dei docenti </w:t>
            </w:r>
            <w:r w:rsidR="00F01DF9" w:rsidRPr="001876E5">
              <w:rPr>
                <w:rFonts w:ascii="Fira Sans" w:eastAsia="Century" w:hAnsi="Fira Sans" w:cs="Century"/>
                <w:szCs w:val="20"/>
              </w:rPr>
              <w:t>i quali</w:t>
            </w:r>
            <w:r w:rsidR="008856BC" w:rsidRPr="001876E5">
              <w:rPr>
                <w:rFonts w:ascii="Fira Sans" w:eastAsia="Century" w:hAnsi="Fira Sans" w:cs="Century"/>
                <w:szCs w:val="20"/>
              </w:rPr>
              <w:t xml:space="preserve"> svolgono la propria attività di ricerca nel settore </w:t>
            </w:r>
            <w:r w:rsidR="00F01DF9" w:rsidRPr="001876E5">
              <w:rPr>
                <w:rFonts w:ascii="Fira Sans" w:eastAsia="Century" w:hAnsi="Fira Sans" w:cs="Century"/>
                <w:szCs w:val="20"/>
              </w:rPr>
              <w:t>con</w:t>
            </w:r>
            <w:r w:rsidR="008856BC" w:rsidRPr="001876E5">
              <w:rPr>
                <w:rFonts w:ascii="Fira Sans" w:eastAsia="Century" w:hAnsi="Fira Sans" w:cs="Century"/>
                <w:szCs w:val="20"/>
              </w:rPr>
              <w:t xml:space="preserve"> un forte legame con il territorio e il mondo delle professioni dello </w:t>
            </w:r>
            <w:r w:rsidR="008856BC" w:rsidRPr="001876E5">
              <w:rPr>
                <w:rFonts w:ascii="Fira Sans" w:eastAsia="Century" w:hAnsi="Fira Sans" w:cs="Century"/>
                <w:i/>
                <w:iCs/>
                <w:szCs w:val="20"/>
              </w:rPr>
              <w:t>shipping</w:t>
            </w:r>
            <w:r w:rsidR="008856BC" w:rsidRPr="001876E5">
              <w:rPr>
                <w:rFonts w:ascii="Fira Sans" w:eastAsia="Century" w:hAnsi="Fira Sans" w:cs="Century"/>
                <w:szCs w:val="20"/>
              </w:rPr>
              <w:t>.</w:t>
            </w:r>
          </w:p>
          <w:p w14:paraId="152CC899" w14:textId="77777777" w:rsidR="008856BC" w:rsidRPr="00E51AFD" w:rsidRDefault="008856BC" w:rsidP="008856BC">
            <w:pPr>
              <w:spacing w:line="240" w:lineRule="atLeast"/>
              <w:jc w:val="both"/>
              <w:rPr>
                <w:rFonts w:ascii="Fira Sans" w:eastAsia="Century" w:hAnsi="Fira Sans" w:cs="Century"/>
                <w:color w:val="0000FF"/>
                <w:szCs w:val="20"/>
              </w:rPr>
            </w:pPr>
          </w:p>
          <w:p w14:paraId="7218599D" w14:textId="56413FBA" w:rsidR="008856BC" w:rsidRPr="00D43FE8" w:rsidRDefault="008856BC" w:rsidP="008856BC">
            <w:pPr>
              <w:spacing w:after="120" w:line="240" w:lineRule="atLeast"/>
              <w:jc w:val="both"/>
              <w:rPr>
                <w:rFonts w:ascii="Fira Sans" w:eastAsia="Century" w:hAnsi="Fira Sans" w:cs="Century"/>
                <w:szCs w:val="20"/>
              </w:rPr>
            </w:pPr>
            <w:r w:rsidRPr="00D43FE8">
              <w:rPr>
                <w:rFonts w:ascii="Fira Sans" w:eastAsia="Century" w:hAnsi="Fira Sans" w:cs="Century"/>
                <w:b/>
                <w:bCs/>
                <w:smallCaps/>
                <w:szCs w:val="20"/>
              </w:rPr>
              <w:t xml:space="preserve">Gruppo B - Indicatori </w:t>
            </w:r>
            <w:r w:rsidR="004E1F0E">
              <w:rPr>
                <w:rFonts w:ascii="Fira Sans" w:eastAsia="Century" w:hAnsi="Fira Sans" w:cs="Century"/>
                <w:b/>
                <w:bCs/>
                <w:smallCaps/>
                <w:szCs w:val="20"/>
              </w:rPr>
              <w:t>i</w:t>
            </w:r>
            <w:r w:rsidRPr="00D43FE8">
              <w:rPr>
                <w:rFonts w:ascii="Fira Sans" w:eastAsia="Century" w:hAnsi="Fira Sans" w:cs="Century"/>
                <w:b/>
                <w:bCs/>
                <w:smallCaps/>
                <w:szCs w:val="20"/>
              </w:rPr>
              <w:t>nternazionalizzazione</w:t>
            </w:r>
          </w:p>
          <w:p w14:paraId="2B32D98B" w14:textId="77777777" w:rsidR="008856BC" w:rsidRPr="00D43FE8" w:rsidRDefault="008856BC" w:rsidP="008856BC">
            <w:pPr>
              <w:spacing w:line="240" w:lineRule="atLeast"/>
              <w:jc w:val="both"/>
              <w:rPr>
                <w:rFonts w:ascii="Fira Sans" w:eastAsia="Century" w:hAnsi="Fira Sans" w:cs="Century"/>
                <w:szCs w:val="20"/>
              </w:rPr>
            </w:pPr>
            <w:r w:rsidRPr="00D43FE8">
              <w:rPr>
                <w:rFonts w:ascii="Fira Sans" w:eastAsia="Century" w:hAnsi="Fira Sans" w:cs="Century"/>
                <w:b/>
                <w:bCs/>
                <w:szCs w:val="20"/>
              </w:rPr>
              <w:t>iC10: Percentuale di CFU conseguiti all’estero dagli studenti regolari sul totale dei CFU conseguiti dagli studenti entro la durata normale del Corso</w:t>
            </w:r>
          </w:p>
          <w:p w14:paraId="59450656" w14:textId="4A90E182" w:rsidR="00D43FE8" w:rsidRPr="00D60934" w:rsidRDefault="008856BC" w:rsidP="008856BC">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 xml:space="preserve">L’indicatore relativo alla percentuale di </w:t>
            </w:r>
            <w:r w:rsidRPr="00D60934">
              <w:rPr>
                <w:rFonts w:ascii="Fira Sans" w:eastAsia="Century" w:hAnsi="Fira Sans" w:cs="Century"/>
                <w:caps/>
                <w:szCs w:val="20"/>
              </w:rPr>
              <w:t>CFU</w:t>
            </w:r>
            <w:r w:rsidRPr="00D60934">
              <w:rPr>
                <w:rFonts w:ascii="Fira Sans" w:eastAsia="Century" w:hAnsi="Fira Sans" w:cs="Century"/>
                <w:szCs w:val="20"/>
              </w:rPr>
              <w:t xml:space="preserve"> conseguiti all’estero dagli studenti regolari sul totale dei </w:t>
            </w:r>
            <w:r w:rsidRPr="00D60934">
              <w:rPr>
                <w:rFonts w:ascii="Fira Sans" w:eastAsia="Century" w:hAnsi="Fira Sans" w:cs="Century"/>
                <w:caps/>
                <w:szCs w:val="20"/>
              </w:rPr>
              <w:t>CFU</w:t>
            </w:r>
            <w:r w:rsidRPr="00D60934">
              <w:rPr>
                <w:rFonts w:ascii="Fira Sans" w:eastAsia="Century" w:hAnsi="Fira Sans" w:cs="Century"/>
                <w:szCs w:val="20"/>
              </w:rPr>
              <w:t xml:space="preserve"> conseguiti dagli studenti entro la durata normale del CdS EMMP si caratterizza per</w:t>
            </w:r>
            <w:r w:rsidR="00D43FE8" w:rsidRPr="00D60934">
              <w:rPr>
                <w:rFonts w:ascii="Fira Sans" w:eastAsia="Century" w:hAnsi="Fira Sans" w:cs="Century"/>
                <w:szCs w:val="20"/>
              </w:rPr>
              <w:t xml:space="preserve"> valori molto bassi e in diminuzione negli ultimi due anni di rilevazione (10,3‰ nel 2017, 31,3‰ nel 2018, 22,9</w:t>
            </w:r>
            <w:r w:rsidR="00B41E5D" w:rsidRPr="00D60934">
              <w:rPr>
                <w:rFonts w:ascii="Fira Sans" w:eastAsia="Century" w:hAnsi="Fira Sans" w:cs="Century"/>
                <w:szCs w:val="20"/>
              </w:rPr>
              <w:t>‰</w:t>
            </w:r>
            <w:r w:rsidR="00D43FE8" w:rsidRPr="00D60934">
              <w:rPr>
                <w:rFonts w:ascii="Fira Sans" w:eastAsia="Century" w:hAnsi="Fira Sans" w:cs="Century"/>
                <w:szCs w:val="20"/>
              </w:rPr>
              <w:t xml:space="preserve"> nel 2019, 8,4</w:t>
            </w:r>
            <w:r w:rsidR="00B41E5D" w:rsidRPr="00D60934">
              <w:rPr>
                <w:rFonts w:ascii="Fira Sans" w:eastAsia="Century" w:hAnsi="Fira Sans" w:cs="Century"/>
                <w:szCs w:val="20"/>
              </w:rPr>
              <w:t>‰</w:t>
            </w:r>
            <w:r w:rsidR="00D43FE8" w:rsidRPr="00D60934">
              <w:rPr>
                <w:rFonts w:ascii="Fira Sans" w:eastAsia="Century" w:hAnsi="Fira Sans" w:cs="Century"/>
                <w:szCs w:val="20"/>
              </w:rPr>
              <w:t xml:space="preserve"> nel 2020). </w:t>
            </w:r>
            <w:r w:rsidR="001866DB" w:rsidRPr="00D60934">
              <w:rPr>
                <w:rFonts w:ascii="Fira Sans" w:eastAsia="Century" w:hAnsi="Fira Sans" w:cs="Century"/>
                <w:szCs w:val="20"/>
              </w:rPr>
              <w:t>I valori rilevati</w:t>
            </w:r>
            <w:r w:rsidR="00D43FE8" w:rsidRPr="00D60934">
              <w:rPr>
                <w:rFonts w:ascii="Fira Sans" w:eastAsia="Century" w:hAnsi="Fira Sans" w:cs="Century"/>
                <w:szCs w:val="20"/>
              </w:rPr>
              <w:t xml:space="preserve"> risulta</w:t>
            </w:r>
            <w:r w:rsidR="001866DB" w:rsidRPr="00D60934">
              <w:rPr>
                <w:rFonts w:ascii="Fira Sans" w:eastAsia="Century" w:hAnsi="Fira Sans" w:cs="Century"/>
                <w:szCs w:val="20"/>
              </w:rPr>
              <w:t>no</w:t>
            </w:r>
            <w:r w:rsidR="00D43FE8" w:rsidRPr="00D60934">
              <w:rPr>
                <w:rFonts w:ascii="Fira Sans" w:eastAsia="Century" w:hAnsi="Fira Sans" w:cs="Century"/>
                <w:szCs w:val="20"/>
              </w:rPr>
              <w:t xml:space="preserve"> decisamente inferior</w:t>
            </w:r>
            <w:r w:rsidR="001866DB" w:rsidRPr="00D60934">
              <w:rPr>
                <w:rFonts w:ascii="Fira Sans" w:eastAsia="Century" w:hAnsi="Fira Sans" w:cs="Century"/>
                <w:szCs w:val="20"/>
              </w:rPr>
              <w:t>i</w:t>
            </w:r>
            <w:r w:rsidR="00D43FE8" w:rsidRPr="00D60934">
              <w:rPr>
                <w:rFonts w:ascii="Fira Sans" w:eastAsia="Century" w:hAnsi="Fira Sans" w:cs="Century"/>
                <w:szCs w:val="20"/>
              </w:rPr>
              <w:t xml:space="preserve"> alle medie dell’Area geografica</w:t>
            </w:r>
            <w:r w:rsidR="00AC0FE1" w:rsidRPr="00D60934">
              <w:rPr>
                <w:rFonts w:ascii="Fira Sans" w:eastAsia="Century" w:hAnsi="Fira Sans" w:cs="Century"/>
                <w:szCs w:val="20"/>
              </w:rPr>
              <w:t xml:space="preserve"> del Nord-Ovest</w:t>
            </w:r>
            <w:r w:rsidR="00D43FE8" w:rsidRPr="00D60934">
              <w:rPr>
                <w:rFonts w:ascii="Fira Sans" w:eastAsia="Century" w:hAnsi="Fira Sans" w:cs="Century"/>
                <w:szCs w:val="20"/>
              </w:rPr>
              <w:t xml:space="preserve">, mentre </w:t>
            </w:r>
            <w:r w:rsidR="001866DB" w:rsidRPr="00D60934">
              <w:rPr>
                <w:rFonts w:ascii="Fira Sans" w:eastAsia="Century" w:hAnsi="Fira Sans" w:cs="Century"/>
                <w:szCs w:val="20"/>
              </w:rPr>
              <w:t>appaiono</w:t>
            </w:r>
            <w:r w:rsidR="00D43FE8" w:rsidRPr="00D60934">
              <w:rPr>
                <w:rFonts w:ascii="Fira Sans" w:eastAsia="Century" w:hAnsi="Fira Sans" w:cs="Century"/>
                <w:szCs w:val="20"/>
              </w:rPr>
              <w:t xml:space="preserve"> più in linea con quelle dell’Ateneo</w:t>
            </w:r>
            <w:r w:rsidR="00B058CB" w:rsidRPr="00D60934">
              <w:rPr>
                <w:rFonts w:ascii="Fira Sans" w:eastAsia="Century" w:hAnsi="Fira Sans" w:cs="Century"/>
                <w:szCs w:val="20"/>
              </w:rPr>
              <w:t xml:space="preserve"> </w:t>
            </w:r>
            <w:r w:rsidR="001876E5" w:rsidRPr="00D60934">
              <w:rPr>
                <w:rFonts w:ascii="Fira Sans" w:eastAsia="Century" w:hAnsi="Fira Sans" w:cs="Century"/>
                <w:szCs w:val="20"/>
              </w:rPr>
              <w:t>le quali,</w:t>
            </w:r>
            <w:r w:rsidR="00B058CB" w:rsidRPr="00D60934">
              <w:rPr>
                <w:rFonts w:ascii="Fira Sans" w:eastAsia="Century" w:hAnsi="Fira Sans" w:cs="Century"/>
                <w:szCs w:val="20"/>
              </w:rPr>
              <w:t xml:space="preserve"> nell’ultimo anno di riferimento</w:t>
            </w:r>
            <w:r w:rsidR="001876E5" w:rsidRPr="00D60934">
              <w:rPr>
                <w:rFonts w:ascii="Fira Sans" w:eastAsia="Century" w:hAnsi="Fira Sans" w:cs="Century"/>
                <w:szCs w:val="20"/>
              </w:rPr>
              <w:t>,</w:t>
            </w:r>
            <w:r w:rsidR="00B058CB" w:rsidRPr="00D60934">
              <w:rPr>
                <w:rFonts w:ascii="Fira Sans" w:eastAsia="Century" w:hAnsi="Fira Sans" w:cs="Century"/>
                <w:szCs w:val="20"/>
              </w:rPr>
              <w:t xml:space="preserve"> presentano una percentuale (7,6‰) inferiore a quella del CdS EMMP.</w:t>
            </w:r>
          </w:p>
          <w:p w14:paraId="4DFB7D93" w14:textId="4869AF0E" w:rsidR="008856BC" w:rsidRPr="00D60934" w:rsidRDefault="00B058CB" w:rsidP="008856BC">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Come già segnalato nella scorsa SMA, l</w:t>
            </w:r>
            <w:r w:rsidR="008856BC" w:rsidRPr="00D60934">
              <w:rPr>
                <w:rFonts w:ascii="Fira Sans" w:eastAsia="Century" w:hAnsi="Fira Sans" w:cs="Century"/>
                <w:szCs w:val="20"/>
              </w:rPr>
              <w:t xml:space="preserve">e motivazioni dell’andamento dell’indicatore in esame sembrano in </w:t>
            </w:r>
            <w:r w:rsidR="00C77465" w:rsidRPr="00D60934">
              <w:rPr>
                <w:rFonts w:ascii="Fira Sans" w:eastAsia="Century" w:hAnsi="Fira Sans" w:cs="Century"/>
                <w:szCs w:val="20"/>
              </w:rPr>
              <w:t xml:space="preserve">buona </w:t>
            </w:r>
            <w:r w:rsidR="008856BC" w:rsidRPr="00D60934">
              <w:rPr>
                <w:rFonts w:ascii="Fira Sans" w:eastAsia="Century" w:hAnsi="Fira Sans" w:cs="Century"/>
                <w:szCs w:val="20"/>
              </w:rPr>
              <w:t>parte riconducibili al fatto che gli studenti sono più interessati durante il loro percorso di studi a effettuare esperienze di lavoro piuttosto che andare all’estero per conseguire crediti formativi</w:t>
            </w:r>
            <w:r w:rsidR="00C77465" w:rsidRPr="00D60934">
              <w:rPr>
                <w:rFonts w:ascii="Fira Sans" w:eastAsia="Century" w:hAnsi="Fira Sans" w:cs="Century"/>
                <w:szCs w:val="20"/>
              </w:rPr>
              <w:t>. Il che incide, come si vedrà, anche sugli indicatori relativi all’avanzamento di carriera (v. commento dell’indicatore iC15)</w:t>
            </w:r>
            <w:r w:rsidR="008856BC" w:rsidRPr="00D60934">
              <w:rPr>
                <w:rFonts w:ascii="Fira Sans" w:eastAsia="Century" w:hAnsi="Fira Sans" w:cs="Century"/>
                <w:szCs w:val="20"/>
              </w:rPr>
              <w:t>.</w:t>
            </w:r>
          </w:p>
          <w:p w14:paraId="440D5362" w14:textId="3CE9FBD8" w:rsidR="008856BC" w:rsidRPr="00D60934" w:rsidRDefault="001866DB" w:rsidP="00B058CB">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N</w:t>
            </w:r>
            <w:r w:rsidR="008856BC" w:rsidRPr="00D60934">
              <w:rPr>
                <w:rFonts w:ascii="Fira Sans" w:eastAsia="Century" w:hAnsi="Fira Sans" w:cs="Century"/>
                <w:szCs w:val="20"/>
              </w:rPr>
              <w:t xml:space="preserve">el corso degli anni </w:t>
            </w:r>
            <w:r w:rsidRPr="00D60934">
              <w:rPr>
                <w:rFonts w:ascii="Fira Sans" w:eastAsia="Century" w:hAnsi="Fira Sans" w:cs="Century"/>
                <w:szCs w:val="20"/>
              </w:rPr>
              <w:t xml:space="preserve">l’indicatore </w:t>
            </w:r>
            <w:r w:rsidR="008856BC" w:rsidRPr="00D60934">
              <w:rPr>
                <w:rFonts w:ascii="Fira Sans" w:eastAsia="Century" w:hAnsi="Fira Sans" w:cs="Century"/>
                <w:szCs w:val="20"/>
              </w:rPr>
              <w:t xml:space="preserve">è stato oggetto di particolare attenzione da parte del CCS. Infatti, oltre a cercare di </w:t>
            </w:r>
            <w:r w:rsidR="00B52D46" w:rsidRPr="00D60934">
              <w:rPr>
                <w:rFonts w:ascii="Fira Sans" w:eastAsia="Century" w:hAnsi="Fira Sans" w:cs="Century"/>
                <w:szCs w:val="20"/>
              </w:rPr>
              <w:t>migliorare</w:t>
            </w:r>
            <w:r w:rsidR="008856BC" w:rsidRPr="00D60934">
              <w:rPr>
                <w:rFonts w:ascii="Fira Sans" w:eastAsia="Century" w:hAnsi="Fira Sans" w:cs="Century"/>
                <w:szCs w:val="20"/>
              </w:rPr>
              <w:t xml:space="preserve"> gli scambi internazionali per la mobilità degli studenti e oltre all’organiz</w:t>
            </w:r>
            <w:r w:rsidR="001876E5" w:rsidRPr="00D60934">
              <w:rPr>
                <w:rFonts w:ascii="Fira Sans" w:eastAsia="Century" w:hAnsi="Fira Sans" w:cs="Century"/>
                <w:szCs w:val="20"/>
              </w:rPr>
              <w:softHyphen/>
            </w:r>
            <w:r w:rsidR="008856BC" w:rsidRPr="00D60934">
              <w:rPr>
                <w:rFonts w:ascii="Fira Sans" w:eastAsia="Century" w:hAnsi="Fira Sans" w:cs="Century"/>
                <w:szCs w:val="20"/>
              </w:rPr>
              <w:t>zazione di iniziative formative all’estero</w:t>
            </w:r>
            <w:r w:rsidR="001876E5" w:rsidRPr="00D60934">
              <w:rPr>
                <w:rFonts w:ascii="Fira Sans" w:eastAsia="Century" w:hAnsi="Fira Sans" w:cs="Century"/>
                <w:szCs w:val="20"/>
              </w:rPr>
              <w:t>,</w:t>
            </w:r>
            <w:r w:rsidR="008856BC" w:rsidRPr="00D60934">
              <w:rPr>
                <w:rFonts w:ascii="Fira Sans" w:eastAsia="Century" w:hAnsi="Fira Sans" w:cs="Century"/>
                <w:szCs w:val="20"/>
              </w:rPr>
              <w:t xml:space="preserve"> è stato introdotto un </w:t>
            </w:r>
            <w:r w:rsidR="00E5746A" w:rsidRPr="00D60934">
              <w:rPr>
                <w:rFonts w:ascii="Fira Sans" w:eastAsia="Century" w:hAnsi="Fira Sans" w:cs="Century"/>
                <w:szCs w:val="20"/>
              </w:rPr>
              <w:t>incremento</w:t>
            </w:r>
            <w:r w:rsidR="008856BC" w:rsidRPr="00D60934">
              <w:rPr>
                <w:rFonts w:ascii="Fira Sans" w:eastAsia="Century" w:hAnsi="Fira Sans" w:cs="Century"/>
                <w:szCs w:val="20"/>
              </w:rPr>
              <w:t xml:space="preserve"> sul voto di laurea </w:t>
            </w:r>
            <w:r w:rsidR="00B058CB" w:rsidRPr="00D60934">
              <w:rPr>
                <w:rFonts w:ascii="Fira Sans" w:eastAsia="Century" w:hAnsi="Fira Sans" w:cs="Century"/>
                <w:szCs w:val="20"/>
              </w:rPr>
              <w:t>nel caso in cui</w:t>
            </w:r>
            <w:r w:rsidR="001876E5" w:rsidRPr="00D60934">
              <w:rPr>
                <w:rFonts w:ascii="Fira Sans" w:eastAsia="Century" w:hAnsi="Fira Sans" w:cs="Century"/>
                <w:szCs w:val="20"/>
              </w:rPr>
              <w:t xml:space="preserve"> studenti iscritti dall’a.a. 2017/2018 in poi </w:t>
            </w:r>
            <w:r w:rsidR="00B058CB" w:rsidRPr="00D60934">
              <w:rPr>
                <w:rFonts w:ascii="Fira Sans" w:eastAsia="Century" w:hAnsi="Fira Sans" w:cs="Century"/>
                <w:szCs w:val="20"/>
              </w:rPr>
              <w:t>abbiano superato</w:t>
            </w:r>
            <w:r w:rsidR="008856BC" w:rsidRPr="00D60934">
              <w:rPr>
                <w:rFonts w:ascii="Fira Sans" w:eastAsia="Century" w:hAnsi="Fira Sans" w:cs="Century"/>
                <w:szCs w:val="20"/>
              </w:rPr>
              <w:t xml:space="preserve"> esami in sedi universitarie estere (+0,5 punti per il conseguimento all’estero da 6 a 11 </w:t>
            </w:r>
            <w:r w:rsidR="008856BC" w:rsidRPr="00D60934">
              <w:rPr>
                <w:rFonts w:ascii="Fira Sans" w:eastAsia="Century" w:hAnsi="Fira Sans" w:cs="Century"/>
                <w:caps/>
                <w:szCs w:val="20"/>
              </w:rPr>
              <w:t>CFU</w:t>
            </w:r>
            <w:r w:rsidR="008856BC" w:rsidRPr="00D60934">
              <w:rPr>
                <w:rFonts w:ascii="Fira Sans" w:eastAsia="Century" w:hAnsi="Fira Sans" w:cs="Century"/>
                <w:szCs w:val="20"/>
              </w:rPr>
              <w:t xml:space="preserve">; +1 punto per il conseguimento all’estero da 12 a 18 </w:t>
            </w:r>
            <w:r w:rsidR="008856BC" w:rsidRPr="00D60934">
              <w:rPr>
                <w:rFonts w:ascii="Fira Sans" w:eastAsia="Century" w:hAnsi="Fira Sans" w:cs="Century"/>
                <w:caps/>
                <w:szCs w:val="20"/>
              </w:rPr>
              <w:t xml:space="preserve">CFU </w:t>
            </w:r>
            <w:r w:rsidR="008856BC" w:rsidRPr="00D60934">
              <w:rPr>
                <w:rFonts w:ascii="Fira Sans" w:eastAsia="Century" w:hAnsi="Fira Sans" w:cs="Century"/>
                <w:szCs w:val="20"/>
              </w:rPr>
              <w:t>e +2 punti per il conseguimento di oltre 18 CFU).</w:t>
            </w:r>
          </w:p>
          <w:p w14:paraId="4E44AE6B" w14:textId="2293DA19" w:rsidR="008856BC" w:rsidRPr="00D60934" w:rsidRDefault="008856BC" w:rsidP="001866DB">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 xml:space="preserve">Purtroppo, finora tali iniziative non hanno sortito l’effetto desiderato e </w:t>
            </w:r>
            <w:r w:rsidR="00B058CB" w:rsidRPr="00D60934">
              <w:rPr>
                <w:rFonts w:ascii="Fira Sans" w:eastAsia="Century" w:hAnsi="Fira Sans" w:cs="Century"/>
                <w:szCs w:val="20"/>
              </w:rPr>
              <w:t xml:space="preserve">alla riduzione del dato nell’ultimo anno di riferimento sembrano aver ulteriormente concorso le </w:t>
            </w:r>
            <w:r w:rsidR="001866DB" w:rsidRPr="00D60934">
              <w:rPr>
                <w:rFonts w:ascii="Fira Sans" w:eastAsia="Century" w:hAnsi="Fira Sans" w:cs="Century"/>
                <w:szCs w:val="20"/>
              </w:rPr>
              <w:t xml:space="preserve">difficoltà, segnalate nella SMA 2021, </w:t>
            </w:r>
            <w:r w:rsidRPr="00D60934">
              <w:rPr>
                <w:rFonts w:ascii="Fira Sans" w:eastAsia="Century" w:hAnsi="Fira Sans" w:cs="Century"/>
                <w:szCs w:val="20"/>
              </w:rPr>
              <w:t>di mobilità internazionale durante il periodo della pandemia.</w:t>
            </w:r>
          </w:p>
          <w:p w14:paraId="3BE41437" w14:textId="0B7972FA" w:rsidR="008856BC" w:rsidRPr="00D60934" w:rsidRDefault="008856BC" w:rsidP="008856BC">
            <w:pPr>
              <w:spacing w:after="120" w:line="240" w:lineRule="atLeast"/>
              <w:ind w:firstLine="284"/>
              <w:jc w:val="both"/>
              <w:rPr>
                <w:rFonts w:ascii="Fira Sans" w:eastAsia="Century" w:hAnsi="Fira Sans" w:cs="Century"/>
                <w:szCs w:val="20"/>
              </w:rPr>
            </w:pPr>
            <w:r w:rsidRPr="00D60934">
              <w:rPr>
                <w:rFonts w:ascii="Fira Sans" w:eastAsia="Century" w:hAnsi="Fira Sans" w:cs="Century"/>
                <w:szCs w:val="20"/>
              </w:rPr>
              <w:t>Il CCS intende continuare a monitorarne attentamente l’andamento dell’indicatore iC10.</w:t>
            </w:r>
          </w:p>
          <w:p w14:paraId="37E8578D" w14:textId="77777777" w:rsidR="008856BC" w:rsidRPr="005E6B67" w:rsidRDefault="008856BC" w:rsidP="008856BC">
            <w:pPr>
              <w:spacing w:line="240" w:lineRule="atLeast"/>
              <w:jc w:val="both"/>
              <w:rPr>
                <w:rFonts w:ascii="Fira Sans" w:eastAsia="Century" w:hAnsi="Fira Sans" w:cs="Century"/>
                <w:szCs w:val="20"/>
              </w:rPr>
            </w:pPr>
            <w:r w:rsidRPr="005E6B67">
              <w:rPr>
                <w:rFonts w:ascii="Fira Sans" w:eastAsia="Century" w:hAnsi="Fira Sans" w:cs="Century"/>
                <w:b/>
                <w:bCs/>
                <w:szCs w:val="20"/>
              </w:rPr>
              <w:t>iC11: Percentuale di laureati entro la durata normale del Corso che hanno acquisito almeno 12 CFU all’estero</w:t>
            </w:r>
          </w:p>
          <w:p w14:paraId="67738055" w14:textId="4D7CD4ED" w:rsidR="008856BC" w:rsidRPr="00D60934" w:rsidRDefault="008856BC" w:rsidP="008856BC">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 xml:space="preserve">Il trend dell’indicatore </w:t>
            </w:r>
            <w:r w:rsidR="00E5746A" w:rsidRPr="00D60934">
              <w:rPr>
                <w:rFonts w:ascii="Fira Sans" w:eastAsia="Century" w:hAnsi="Fira Sans" w:cs="Century"/>
                <w:szCs w:val="20"/>
              </w:rPr>
              <w:t>risulta essere</w:t>
            </w:r>
            <w:r w:rsidRPr="00D60934">
              <w:rPr>
                <w:rFonts w:ascii="Fira Sans" w:eastAsia="Century" w:hAnsi="Fira Sans" w:cs="Century"/>
                <w:szCs w:val="20"/>
              </w:rPr>
              <w:t xml:space="preserve"> </w:t>
            </w:r>
            <w:r w:rsidR="00E5746A" w:rsidRPr="00D60934">
              <w:rPr>
                <w:rFonts w:ascii="Fira Sans" w:eastAsia="Century" w:hAnsi="Fira Sans" w:cs="Century"/>
                <w:szCs w:val="20"/>
              </w:rPr>
              <w:t>decisamente</w:t>
            </w:r>
            <w:r w:rsidRPr="00D60934">
              <w:rPr>
                <w:rFonts w:ascii="Fira Sans" w:eastAsia="Century" w:hAnsi="Fira Sans" w:cs="Century"/>
                <w:szCs w:val="20"/>
              </w:rPr>
              <w:t xml:space="preserve"> oscillante nel corso degli anni (0,0‰ nel 2016, 2017 e 2018, 93,8‰ nel 2019, 32,3‰ nel 2020</w:t>
            </w:r>
            <w:r w:rsidR="00A90DC0" w:rsidRPr="00D60934">
              <w:rPr>
                <w:rFonts w:ascii="Fira Sans" w:eastAsia="Century" w:hAnsi="Fira Sans" w:cs="Century"/>
                <w:szCs w:val="20"/>
              </w:rPr>
              <w:t>, 78,9‰ nel 2</w:t>
            </w:r>
            <w:r w:rsidR="00C00FC6" w:rsidRPr="00D60934">
              <w:rPr>
                <w:rFonts w:ascii="Fira Sans" w:eastAsia="Century" w:hAnsi="Fira Sans" w:cs="Century"/>
                <w:szCs w:val="20"/>
              </w:rPr>
              <w:t>0</w:t>
            </w:r>
            <w:r w:rsidR="00A90DC0" w:rsidRPr="00D60934">
              <w:rPr>
                <w:rFonts w:ascii="Fira Sans" w:eastAsia="Century" w:hAnsi="Fira Sans" w:cs="Century"/>
                <w:szCs w:val="20"/>
              </w:rPr>
              <w:t>21</w:t>
            </w:r>
            <w:r w:rsidRPr="00D60934">
              <w:rPr>
                <w:rFonts w:ascii="Fira Sans" w:eastAsia="Century" w:hAnsi="Fira Sans" w:cs="Century"/>
                <w:szCs w:val="20"/>
              </w:rPr>
              <w:t xml:space="preserve">). Queste variazioni percentuali in millesimi (‰) appaiono poco significative se valutate in termini di numero assoluto di studenti. Resta la constatazione che si tratta di valori molti bassi e inferiori alle medie di Ateneo </w:t>
            </w:r>
            <w:r w:rsidR="00A90DC0" w:rsidRPr="00D60934">
              <w:rPr>
                <w:rFonts w:ascii="Fira Sans" w:eastAsia="Century" w:hAnsi="Fira Sans" w:cs="Century"/>
                <w:szCs w:val="20"/>
              </w:rPr>
              <w:t xml:space="preserve">(con la sola eccezione nel 2021) </w:t>
            </w:r>
            <w:r w:rsidRPr="00D60934">
              <w:rPr>
                <w:rFonts w:ascii="Fira Sans" w:eastAsia="Century" w:hAnsi="Fira Sans" w:cs="Century"/>
                <w:szCs w:val="20"/>
              </w:rPr>
              <w:t>e dell’area geografica di riferimento.</w:t>
            </w:r>
          </w:p>
          <w:p w14:paraId="550F1AFD" w14:textId="0CFC4E80" w:rsidR="008856BC" w:rsidRPr="00D60934" w:rsidRDefault="008856BC" w:rsidP="008856BC">
            <w:pPr>
              <w:spacing w:after="120" w:line="240" w:lineRule="atLeast"/>
              <w:ind w:firstLine="284"/>
              <w:jc w:val="both"/>
              <w:rPr>
                <w:rFonts w:ascii="Fira Sans" w:eastAsia="Century" w:hAnsi="Fira Sans" w:cs="Century"/>
                <w:szCs w:val="20"/>
              </w:rPr>
            </w:pPr>
            <w:r w:rsidRPr="00D60934">
              <w:rPr>
                <w:rFonts w:ascii="Fira Sans" w:eastAsia="Century" w:hAnsi="Fira Sans" w:cs="Century"/>
                <w:szCs w:val="20"/>
              </w:rPr>
              <w:t>Il presente indicatore è strettamente correlato con iC10 e pertanto si rinvia al commento riferito a suddetto indicatore.</w:t>
            </w:r>
          </w:p>
          <w:p w14:paraId="3F8B3B25" w14:textId="2452D6DD" w:rsidR="008856BC" w:rsidRPr="00A90DC0" w:rsidRDefault="008856BC" w:rsidP="008856BC">
            <w:pPr>
              <w:spacing w:line="240" w:lineRule="atLeast"/>
              <w:jc w:val="both"/>
              <w:rPr>
                <w:rFonts w:ascii="Fira Sans" w:eastAsia="Century" w:hAnsi="Fira Sans" w:cs="Century"/>
                <w:szCs w:val="20"/>
              </w:rPr>
            </w:pPr>
            <w:r w:rsidRPr="00A90DC0">
              <w:rPr>
                <w:rFonts w:ascii="Fira Sans" w:eastAsia="Century" w:hAnsi="Fira Sans" w:cs="Century"/>
                <w:b/>
                <w:bCs/>
                <w:szCs w:val="20"/>
              </w:rPr>
              <w:t>iC12: Percentuale di studenti iscritti al primo anno del Corso di laurea magistrale (LM) che hanno conseguito il precedente titolo di studio all’estero</w:t>
            </w:r>
          </w:p>
          <w:p w14:paraId="5B68CF1C" w14:textId="7347B112" w:rsidR="008856BC" w:rsidRPr="00D60934" w:rsidRDefault="00E5746A" w:rsidP="00A90DC0">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Q</w:t>
            </w:r>
            <w:r w:rsidR="008856BC" w:rsidRPr="00D60934">
              <w:rPr>
                <w:rFonts w:ascii="Fira Sans" w:eastAsia="Century" w:hAnsi="Fira Sans" w:cs="Century"/>
                <w:szCs w:val="20"/>
              </w:rPr>
              <w:t xml:space="preserve">uesto indicatore </w:t>
            </w:r>
            <w:r w:rsidR="00A90DC0" w:rsidRPr="00D60934">
              <w:rPr>
                <w:rFonts w:ascii="Fira Sans" w:eastAsia="Century" w:hAnsi="Fira Sans" w:cs="Century"/>
                <w:szCs w:val="20"/>
              </w:rPr>
              <w:t xml:space="preserve">(0‰ nel 2017, 15,9‰ nel 2018, 0‰ nel 9 e 2020, </w:t>
            </w:r>
            <w:r w:rsidR="00B705B6" w:rsidRPr="00D60934">
              <w:rPr>
                <w:rFonts w:ascii="Fira Sans" w:eastAsia="Century" w:hAnsi="Fira Sans" w:cs="Century"/>
                <w:szCs w:val="20"/>
              </w:rPr>
              <w:t>12,8‰ nel</w:t>
            </w:r>
            <w:r w:rsidR="00A90DC0" w:rsidRPr="00D60934">
              <w:rPr>
                <w:rFonts w:ascii="Fira Sans" w:eastAsia="Century" w:hAnsi="Fira Sans" w:cs="Century"/>
                <w:szCs w:val="20"/>
              </w:rPr>
              <w:t xml:space="preserve"> </w:t>
            </w:r>
            <w:r w:rsidR="00B705B6" w:rsidRPr="00D60934">
              <w:rPr>
                <w:rFonts w:ascii="Fira Sans" w:eastAsia="Century" w:hAnsi="Fira Sans" w:cs="Century"/>
                <w:szCs w:val="20"/>
              </w:rPr>
              <w:t>2021) appare critico</w:t>
            </w:r>
            <w:r w:rsidR="00A90DC0" w:rsidRPr="00D60934">
              <w:rPr>
                <w:rFonts w:ascii="Fira Sans" w:eastAsia="Century" w:hAnsi="Fira Sans" w:cs="Century"/>
                <w:szCs w:val="20"/>
              </w:rPr>
              <w:t xml:space="preserve"> </w:t>
            </w:r>
            <w:r w:rsidR="00B705B6" w:rsidRPr="00D60934">
              <w:rPr>
                <w:rFonts w:ascii="Fira Sans" w:eastAsia="Century" w:hAnsi="Fira Sans" w:cs="Century"/>
                <w:szCs w:val="20"/>
              </w:rPr>
              <w:t>anche in considerazion</w:t>
            </w:r>
            <w:r w:rsidRPr="00D60934">
              <w:rPr>
                <w:rFonts w:ascii="Fira Sans" w:eastAsia="Century" w:hAnsi="Fira Sans" w:cs="Century"/>
                <w:szCs w:val="20"/>
              </w:rPr>
              <w:t>e</w:t>
            </w:r>
            <w:r w:rsidR="00B705B6" w:rsidRPr="00D60934">
              <w:rPr>
                <w:rFonts w:ascii="Fira Sans" w:eastAsia="Century" w:hAnsi="Fira Sans" w:cs="Century"/>
                <w:szCs w:val="20"/>
              </w:rPr>
              <w:t xml:space="preserve"> delle più alte percentuali </w:t>
            </w:r>
            <w:r w:rsidR="00922010">
              <w:rPr>
                <w:rFonts w:ascii="Fira Sans" w:eastAsia="Century" w:hAnsi="Fira Sans" w:cs="Century"/>
                <w:szCs w:val="20"/>
              </w:rPr>
              <w:t>d</w:t>
            </w:r>
            <w:r w:rsidR="00B705B6" w:rsidRPr="00D60934">
              <w:rPr>
                <w:rFonts w:ascii="Fira Sans" w:eastAsia="Century" w:hAnsi="Fira Sans" w:cs="Century"/>
                <w:szCs w:val="20"/>
              </w:rPr>
              <w:t>ell’</w:t>
            </w:r>
            <w:r w:rsidR="00B705B6" w:rsidRPr="00D60934">
              <w:rPr>
                <w:rFonts w:ascii="Fira Sans" w:eastAsia="Century" w:hAnsi="Fira Sans" w:cs="Century"/>
                <w:caps/>
                <w:szCs w:val="20"/>
              </w:rPr>
              <w:t>a</w:t>
            </w:r>
            <w:r w:rsidR="00B705B6" w:rsidRPr="00D60934">
              <w:rPr>
                <w:rFonts w:ascii="Fira Sans" w:eastAsia="Century" w:hAnsi="Fira Sans" w:cs="Century"/>
                <w:szCs w:val="20"/>
              </w:rPr>
              <w:t>rea geografica</w:t>
            </w:r>
            <w:r w:rsidRPr="00D60934">
              <w:rPr>
                <w:rFonts w:ascii="Fira Sans" w:eastAsia="Century" w:hAnsi="Fira Sans" w:cs="Century"/>
                <w:szCs w:val="20"/>
              </w:rPr>
              <w:t xml:space="preserve"> del Nord-Ovest</w:t>
            </w:r>
            <w:r w:rsidR="00B705B6" w:rsidRPr="00D60934">
              <w:rPr>
                <w:rFonts w:ascii="Fira Sans" w:eastAsia="Century" w:hAnsi="Fira Sans" w:cs="Century"/>
                <w:szCs w:val="20"/>
              </w:rPr>
              <w:t>. L’aumento riscontrato nell’ultimo anno di riferimento non risulta significativo in quanto, c</w:t>
            </w:r>
            <w:r w:rsidR="008856BC" w:rsidRPr="00D60934">
              <w:rPr>
                <w:rFonts w:ascii="Fira Sans" w:eastAsia="Century" w:hAnsi="Fira Sans" w:cs="Century"/>
                <w:szCs w:val="20"/>
              </w:rPr>
              <w:t xml:space="preserve">osì come segnalato in relazione agli indicatori precedenti, occorre tener presente che </w:t>
            </w:r>
            <w:r w:rsidR="00B705B6" w:rsidRPr="00D60934">
              <w:rPr>
                <w:rFonts w:ascii="Fira Sans" w:eastAsia="Century" w:hAnsi="Fira Sans" w:cs="Century"/>
                <w:szCs w:val="20"/>
              </w:rPr>
              <w:t>le</w:t>
            </w:r>
            <w:r w:rsidR="008856BC" w:rsidRPr="00D60934">
              <w:rPr>
                <w:rFonts w:ascii="Fira Sans" w:eastAsia="Century" w:hAnsi="Fira Sans" w:cs="Century"/>
                <w:szCs w:val="20"/>
              </w:rPr>
              <w:t xml:space="preserve"> variazioni, in termini assoluti, in questo caso dipendono dal variare di una sola unità al numeratore. </w:t>
            </w:r>
          </w:p>
          <w:p w14:paraId="78D80303" w14:textId="613ED964" w:rsidR="008856BC" w:rsidRPr="00D60934" w:rsidRDefault="008856BC" w:rsidP="00E5746A">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 xml:space="preserve">L’indicatore in esame testimonia </w:t>
            </w:r>
            <w:r w:rsidR="00B705B6" w:rsidRPr="00D60934">
              <w:rPr>
                <w:rFonts w:ascii="Fira Sans" w:eastAsia="Century" w:hAnsi="Fira Sans" w:cs="Century"/>
                <w:szCs w:val="20"/>
              </w:rPr>
              <w:t>quindi</w:t>
            </w:r>
            <w:r w:rsidRPr="00D60934">
              <w:rPr>
                <w:rFonts w:ascii="Fira Sans" w:eastAsia="Century" w:hAnsi="Fira Sans" w:cs="Century"/>
                <w:szCs w:val="20"/>
              </w:rPr>
              <w:t xml:space="preserve"> che il CdS EMMP non attrae studenti che hanno conseguito il precedente titolo di studio all’estero. Questo problema sussiste anche per gli altri corsi di studio dell’Ateneo </w:t>
            </w:r>
            <w:r w:rsidR="00B705B6" w:rsidRPr="00D60934">
              <w:rPr>
                <w:rFonts w:ascii="Fira Sans" w:eastAsia="Century" w:hAnsi="Fira Sans" w:cs="Century"/>
                <w:szCs w:val="20"/>
              </w:rPr>
              <w:t>viste le bassissime percentuali</w:t>
            </w:r>
            <w:r w:rsidRPr="00D60934">
              <w:rPr>
                <w:rFonts w:ascii="Fira Sans" w:eastAsia="Century" w:hAnsi="Fira Sans" w:cs="Century"/>
                <w:szCs w:val="20"/>
              </w:rPr>
              <w:t xml:space="preserve">. Pertanto, come osservato </w:t>
            </w:r>
            <w:r w:rsidR="00B705B6" w:rsidRPr="00D60934">
              <w:rPr>
                <w:rFonts w:ascii="Fira Sans" w:eastAsia="Century" w:hAnsi="Fira Sans" w:cs="Century"/>
                <w:szCs w:val="20"/>
              </w:rPr>
              <w:t>nelle SMA precedenti</w:t>
            </w:r>
            <w:r w:rsidRPr="00D60934">
              <w:rPr>
                <w:rFonts w:ascii="Fira Sans" w:eastAsia="Century" w:hAnsi="Fira Sans" w:cs="Century"/>
                <w:szCs w:val="20"/>
              </w:rPr>
              <w:t>, il problema sembra possa essere più efficacemente affrontato a livello centrale. Le ragioni della criticità dell’indica</w:t>
            </w:r>
            <w:r w:rsidR="00D60934" w:rsidRPr="00D60934">
              <w:rPr>
                <w:rFonts w:ascii="Fira Sans" w:eastAsia="Century" w:hAnsi="Fira Sans" w:cs="Century"/>
                <w:szCs w:val="20"/>
              </w:rPr>
              <w:softHyphen/>
            </w:r>
            <w:r w:rsidRPr="00D60934">
              <w:rPr>
                <w:rFonts w:ascii="Fira Sans" w:eastAsia="Century" w:hAnsi="Fira Sans" w:cs="Century"/>
                <w:szCs w:val="20"/>
              </w:rPr>
              <w:t xml:space="preserve">tore </w:t>
            </w:r>
            <w:r w:rsidR="00F64442" w:rsidRPr="00D60934">
              <w:rPr>
                <w:rFonts w:ascii="Fira Sans" w:eastAsia="Century" w:hAnsi="Fira Sans" w:cs="Century"/>
                <w:szCs w:val="20"/>
              </w:rPr>
              <w:t>risultano ben note</w:t>
            </w:r>
            <w:r w:rsidRPr="00D60934">
              <w:rPr>
                <w:rFonts w:ascii="Fira Sans" w:eastAsia="Century" w:hAnsi="Fira Sans" w:cs="Century"/>
                <w:szCs w:val="20"/>
              </w:rPr>
              <w:t xml:space="preserve"> e </w:t>
            </w:r>
            <w:r w:rsidR="003C6CD2" w:rsidRPr="00D60934">
              <w:rPr>
                <w:rFonts w:ascii="Fira Sans" w:eastAsia="Century" w:hAnsi="Fira Sans" w:cs="Century"/>
                <w:szCs w:val="20"/>
              </w:rPr>
              <w:t xml:space="preserve">sono </w:t>
            </w:r>
            <w:r w:rsidRPr="00D60934">
              <w:rPr>
                <w:rFonts w:ascii="Fira Sans" w:eastAsia="Century" w:hAnsi="Fira Sans" w:cs="Century"/>
                <w:szCs w:val="20"/>
              </w:rPr>
              <w:t>solo parzialmente sotto il controllo del CCS: scarsità di strutture ricettive di accoglienza per gli studenti stranieri, costo della vita nella città di Genova, scarsa notorietà del CdS EMMP all’estero, piano di studi con prevalenza di insegnamenti erogati in lingua italiana</w:t>
            </w:r>
            <w:r w:rsidR="000421F6" w:rsidRPr="00D60934">
              <w:rPr>
                <w:rFonts w:ascii="Fira Sans" w:eastAsia="Century" w:hAnsi="Fira Sans" w:cs="Century"/>
                <w:szCs w:val="20"/>
              </w:rPr>
              <w:t>, insufficienza quantitativa del personale addetto ai servizi agli studenti</w:t>
            </w:r>
            <w:r w:rsidRPr="00D60934">
              <w:rPr>
                <w:rFonts w:ascii="Fira Sans" w:eastAsia="Century" w:hAnsi="Fira Sans" w:cs="Century"/>
                <w:szCs w:val="20"/>
              </w:rPr>
              <w:t xml:space="preserve">. </w:t>
            </w:r>
            <w:r w:rsidR="00F64442" w:rsidRPr="00D60934">
              <w:rPr>
                <w:rFonts w:ascii="Fira Sans" w:eastAsia="Century" w:hAnsi="Fira Sans" w:cs="Century"/>
                <w:szCs w:val="20"/>
              </w:rPr>
              <w:t>Se a quanto sopra si aggiungono l’incertezza di questo periodo di pandemia e le conseguenti</w:t>
            </w:r>
            <w:r w:rsidRPr="00D60934">
              <w:rPr>
                <w:rFonts w:ascii="Fira Sans" w:eastAsia="Century" w:hAnsi="Fira Sans" w:cs="Century"/>
                <w:szCs w:val="20"/>
              </w:rPr>
              <w:t xml:space="preserve"> difficoltà di mobilità, </w:t>
            </w:r>
            <w:r w:rsidR="003C6CD2" w:rsidRPr="00D60934">
              <w:rPr>
                <w:rFonts w:ascii="Fira Sans" w:eastAsia="Century" w:hAnsi="Fira Sans" w:cs="Century"/>
                <w:szCs w:val="20"/>
              </w:rPr>
              <w:t xml:space="preserve">si </w:t>
            </w:r>
            <w:r w:rsidR="00D60934" w:rsidRPr="00D60934">
              <w:rPr>
                <w:rFonts w:ascii="Fira Sans" w:eastAsia="Century" w:hAnsi="Fira Sans" w:cs="Century"/>
                <w:szCs w:val="20"/>
              </w:rPr>
              <w:t>può prevedere</w:t>
            </w:r>
            <w:r w:rsidR="003C6CD2" w:rsidRPr="00D60934">
              <w:rPr>
                <w:rFonts w:ascii="Fira Sans" w:eastAsia="Century" w:hAnsi="Fira Sans" w:cs="Century"/>
                <w:szCs w:val="20"/>
              </w:rPr>
              <w:t xml:space="preserve"> che </w:t>
            </w:r>
            <w:r w:rsidR="00F64442" w:rsidRPr="00D60934">
              <w:rPr>
                <w:rFonts w:ascii="Fira Sans" w:eastAsia="Century" w:hAnsi="Fira Sans" w:cs="Century"/>
                <w:szCs w:val="20"/>
              </w:rPr>
              <w:t xml:space="preserve">l’indicatore non </w:t>
            </w:r>
            <w:r w:rsidR="003C6CD2" w:rsidRPr="00D60934">
              <w:rPr>
                <w:rFonts w:ascii="Fira Sans" w:eastAsia="Century" w:hAnsi="Fira Sans" w:cs="Century"/>
                <w:szCs w:val="20"/>
              </w:rPr>
              <w:t>sia</w:t>
            </w:r>
            <w:r w:rsidR="00F64442" w:rsidRPr="00D60934">
              <w:rPr>
                <w:rFonts w:ascii="Fira Sans" w:eastAsia="Century" w:hAnsi="Fira Sans" w:cs="Century"/>
                <w:szCs w:val="20"/>
              </w:rPr>
              <w:t xml:space="preserve"> destinato a migliorare sensibilmente per lo meno nel breve periodo</w:t>
            </w:r>
            <w:r w:rsidRPr="00D60934">
              <w:rPr>
                <w:rFonts w:ascii="Fira Sans" w:eastAsia="Century" w:hAnsi="Fira Sans" w:cs="Century"/>
                <w:szCs w:val="20"/>
              </w:rPr>
              <w:t>.</w:t>
            </w:r>
          </w:p>
          <w:p w14:paraId="11F88906" w14:textId="334D551E" w:rsidR="008856BC" w:rsidRPr="00F86349" w:rsidRDefault="008856BC" w:rsidP="008856BC">
            <w:pPr>
              <w:spacing w:after="120" w:line="240" w:lineRule="atLeast"/>
              <w:jc w:val="both"/>
              <w:rPr>
                <w:rFonts w:ascii="Fira Sans" w:eastAsia="Century" w:hAnsi="Fira Sans" w:cs="Century"/>
                <w:szCs w:val="20"/>
              </w:rPr>
            </w:pPr>
            <w:r w:rsidRPr="00F86349">
              <w:rPr>
                <w:rFonts w:ascii="Fira Sans" w:eastAsia="Century" w:hAnsi="Fira Sans" w:cs="Century"/>
                <w:b/>
                <w:bCs/>
                <w:caps/>
                <w:szCs w:val="20"/>
              </w:rPr>
              <w:lastRenderedPageBreak/>
              <w:t>G</w:t>
            </w:r>
            <w:r w:rsidR="00BF1D6F" w:rsidRPr="00BF1D6F">
              <w:rPr>
                <w:rFonts w:ascii="Fira Sans" w:eastAsia="Century" w:hAnsi="Fira Sans" w:cs="Century"/>
                <w:b/>
                <w:bCs/>
                <w:smallCaps/>
                <w:szCs w:val="20"/>
              </w:rPr>
              <w:t>ruppo</w:t>
            </w:r>
            <w:r w:rsidRPr="00F86349">
              <w:rPr>
                <w:rFonts w:ascii="Fira Sans" w:eastAsia="Century" w:hAnsi="Fira Sans" w:cs="Century"/>
                <w:b/>
                <w:bCs/>
                <w:caps/>
                <w:szCs w:val="20"/>
              </w:rPr>
              <w:t xml:space="preserve"> E - </w:t>
            </w:r>
            <w:r w:rsidR="00BF1D6F" w:rsidRPr="00BF1D6F">
              <w:rPr>
                <w:rFonts w:ascii="Fira Sans" w:eastAsia="Century" w:hAnsi="Fira Sans" w:cs="Century"/>
                <w:b/>
                <w:bCs/>
                <w:smallCaps/>
                <w:szCs w:val="20"/>
              </w:rPr>
              <w:t>Ulteriori indicatori per la valutazione della didattica</w:t>
            </w:r>
          </w:p>
          <w:p w14:paraId="6ECE3225" w14:textId="09F2DD0E" w:rsidR="0044142A" w:rsidRPr="00721543" w:rsidRDefault="0044142A" w:rsidP="0044142A">
            <w:pPr>
              <w:autoSpaceDE w:val="0"/>
              <w:autoSpaceDN w:val="0"/>
              <w:adjustRightInd w:val="0"/>
              <w:rPr>
                <w:rFonts w:ascii="TimesNewRomanPSMT" w:eastAsiaTheme="minorHAnsi" w:hAnsi="TimesNewRomanPSMT" w:cs="TimesNewRomanPSMT"/>
                <w:sz w:val="18"/>
                <w:szCs w:val="18"/>
                <w:u w:val="single"/>
                <w:lang w:eastAsia="en-US"/>
              </w:rPr>
            </w:pPr>
            <w:r w:rsidRPr="005E6C12">
              <w:rPr>
                <w:rFonts w:ascii="Fira Sans" w:eastAsia="Century" w:hAnsi="Fira Sans" w:cs="Century"/>
                <w:b/>
                <w:bCs/>
                <w:szCs w:val="20"/>
                <w:u w:val="single"/>
              </w:rPr>
              <w:t xml:space="preserve">iC13 </w:t>
            </w:r>
            <w:r w:rsidRPr="005E6C12">
              <w:rPr>
                <w:rFonts w:ascii="Fira Sans" w:eastAsiaTheme="minorHAnsi" w:hAnsi="Fira Sans" w:cs="TimesNewRomanPSMT"/>
                <w:b/>
                <w:bCs/>
                <w:szCs w:val="20"/>
                <w:u w:val="single"/>
                <w:lang w:eastAsia="en-US"/>
              </w:rPr>
              <w:t>Percentuale di CFU conseguiti al I anno su CFU da conseguire</w:t>
            </w:r>
          </w:p>
          <w:p w14:paraId="45171437" w14:textId="21DBFCF3" w:rsidR="0044142A" w:rsidRPr="00721543" w:rsidRDefault="0031183A" w:rsidP="00721543">
            <w:pPr>
              <w:autoSpaceDE w:val="0"/>
              <w:autoSpaceDN w:val="0"/>
              <w:adjustRightInd w:val="0"/>
              <w:ind w:firstLine="317"/>
              <w:jc w:val="both"/>
              <w:rPr>
                <w:rFonts w:ascii="Fira Sans" w:eastAsiaTheme="minorHAnsi" w:hAnsi="Fira Sans" w:cs="TimesNewRomanPSMT"/>
                <w:szCs w:val="20"/>
                <w:lang w:eastAsia="en-US"/>
              </w:rPr>
            </w:pPr>
            <w:r w:rsidRPr="00721543">
              <w:rPr>
                <w:rFonts w:ascii="Fira Sans" w:eastAsiaTheme="minorHAnsi" w:hAnsi="Fira Sans" w:cs="TimesNewRomanPSMT"/>
                <w:szCs w:val="20"/>
                <w:lang w:eastAsia="en-US"/>
              </w:rPr>
              <w:t xml:space="preserve">Questo indicatore apre una serie di </w:t>
            </w:r>
            <w:r w:rsidR="009039DC" w:rsidRPr="00721543">
              <w:rPr>
                <w:rFonts w:ascii="Fira Sans" w:eastAsiaTheme="minorHAnsi" w:hAnsi="Fira Sans" w:cs="TimesNewRomanPSMT"/>
                <w:szCs w:val="20"/>
                <w:lang w:eastAsia="en-US"/>
              </w:rPr>
              <w:t>ulteriori</w:t>
            </w:r>
            <w:r w:rsidRPr="00721543">
              <w:rPr>
                <w:rFonts w:ascii="Fira Sans" w:eastAsiaTheme="minorHAnsi" w:hAnsi="Fira Sans" w:cs="TimesNewRomanPSMT"/>
                <w:szCs w:val="20"/>
                <w:lang w:eastAsia="en-US"/>
              </w:rPr>
              <w:t xml:space="preserve"> indicatori di seguito analizzati (iC14, iC15, iC15bis, iC16, iC16bis, iC17) utili per monitorare l’andamento della progressione della carriera degli studenti iscritti al CdS EMMP.</w:t>
            </w:r>
          </w:p>
          <w:p w14:paraId="04BBA543" w14:textId="6AC54AC5" w:rsidR="00B60996" w:rsidRDefault="00B60996" w:rsidP="00B60996">
            <w:pPr>
              <w:autoSpaceDE w:val="0"/>
              <w:autoSpaceDN w:val="0"/>
              <w:adjustRightInd w:val="0"/>
              <w:ind w:firstLine="317"/>
              <w:jc w:val="both"/>
              <w:rPr>
                <w:rFonts w:ascii="Fira Sans" w:eastAsiaTheme="minorHAnsi" w:hAnsi="Fira Sans" w:cs="TimesNewRomanPS-BoldMT"/>
                <w:szCs w:val="20"/>
                <w:lang w:eastAsia="en-US"/>
              </w:rPr>
            </w:pPr>
            <w:r>
              <w:rPr>
                <w:rFonts w:ascii="Fira Sans" w:eastAsiaTheme="minorHAnsi" w:hAnsi="Fira Sans" w:cs="TimesNewRomanPSMT"/>
                <w:szCs w:val="20"/>
                <w:lang w:eastAsia="en-US"/>
              </w:rPr>
              <w:t>L</w:t>
            </w:r>
            <w:r w:rsidR="0031183A" w:rsidRPr="00721543">
              <w:rPr>
                <w:rFonts w:ascii="Fira Sans" w:eastAsiaTheme="minorHAnsi" w:hAnsi="Fira Sans" w:cs="TimesNewRomanPSMT"/>
                <w:szCs w:val="20"/>
                <w:lang w:eastAsia="en-US"/>
              </w:rPr>
              <w:t xml:space="preserve">’indicatore iC13 presenta un andamento </w:t>
            </w:r>
            <w:r>
              <w:rPr>
                <w:rFonts w:ascii="Fira Sans" w:eastAsiaTheme="minorHAnsi" w:hAnsi="Fira Sans" w:cs="TimesNewRomanPSMT"/>
                <w:szCs w:val="20"/>
                <w:lang w:eastAsia="en-US"/>
              </w:rPr>
              <w:t>oscillante</w:t>
            </w:r>
            <w:r w:rsidR="0031183A" w:rsidRPr="00721543">
              <w:rPr>
                <w:rFonts w:ascii="Fira Sans" w:eastAsiaTheme="minorHAnsi" w:hAnsi="Fira Sans" w:cs="TimesNewRomanPSMT"/>
                <w:szCs w:val="20"/>
                <w:lang w:eastAsia="en-US"/>
              </w:rPr>
              <w:t xml:space="preserve"> nel corso degli anni (</w:t>
            </w:r>
            <w:r w:rsidR="0031183A" w:rsidRPr="00721543">
              <w:rPr>
                <w:rFonts w:ascii="Fira Sans" w:eastAsiaTheme="minorHAnsi" w:hAnsi="Fira Sans" w:cs="TimesNewRomanPS-BoldMT"/>
                <w:szCs w:val="20"/>
                <w:lang w:eastAsia="en-US"/>
              </w:rPr>
              <w:t>87,1% nel 2017, 77,7% nel 2018, 83,0% nel 2019 e 73,4% nel 2020</w:t>
            </w:r>
            <w:r>
              <w:rPr>
                <w:rFonts w:ascii="Fira Sans" w:eastAsiaTheme="minorHAnsi" w:hAnsi="Fira Sans" w:cs="TimesNewRomanPS-BoldMT"/>
                <w:szCs w:val="20"/>
                <w:lang w:eastAsia="en-US"/>
              </w:rPr>
              <w:t>)</w:t>
            </w:r>
            <w:r w:rsidR="0031183A" w:rsidRPr="00721543">
              <w:rPr>
                <w:rFonts w:ascii="Fira Sans" w:eastAsiaTheme="minorHAnsi" w:hAnsi="Fira Sans" w:cs="TimesNewRomanPS-BoldMT"/>
                <w:szCs w:val="20"/>
                <w:lang w:eastAsia="en-US"/>
              </w:rPr>
              <w:t xml:space="preserve"> allineandosi all’incirca alle medie di Ateneo. Come si può notare</w:t>
            </w:r>
            <w:r w:rsidR="009039DC" w:rsidRPr="00721543">
              <w:rPr>
                <w:rFonts w:ascii="Fira Sans" w:eastAsiaTheme="minorHAnsi" w:hAnsi="Fira Sans" w:cs="TimesNewRomanPS-BoldMT"/>
                <w:szCs w:val="20"/>
                <w:lang w:eastAsia="en-US"/>
              </w:rPr>
              <w:t>,</w:t>
            </w:r>
            <w:r w:rsidR="0031183A" w:rsidRPr="00721543">
              <w:rPr>
                <w:rFonts w:ascii="Fira Sans" w:eastAsiaTheme="minorHAnsi" w:hAnsi="Fira Sans" w:cs="TimesNewRomanPS-BoldMT"/>
                <w:szCs w:val="20"/>
                <w:lang w:eastAsia="en-US"/>
              </w:rPr>
              <w:t xml:space="preserve"> nell’ultimo anno di rilevazione il dato ha raggiunto il suo minimo valore rispetto ai tre anni precedenti.</w:t>
            </w:r>
            <w:r w:rsidR="009039DC" w:rsidRPr="00721543">
              <w:rPr>
                <w:rFonts w:ascii="Fira Sans" w:eastAsiaTheme="minorHAnsi" w:hAnsi="Fira Sans" w:cs="TimesNewRomanPS-BoldMT"/>
                <w:szCs w:val="20"/>
                <w:lang w:eastAsia="en-US"/>
              </w:rPr>
              <w:t xml:space="preserve"> </w:t>
            </w:r>
          </w:p>
          <w:p w14:paraId="7955F3AA" w14:textId="744F9DF1" w:rsidR="0044142A" w:rsidRPr="00721543" w:rsidRDefault="009039DC" w:rsidP="00721543">
            <w:pPr>
              <w:autoSpaceDE w:val="0"/>
              <w:autoSpaceDN w:val="0"/>
              <w:adjustRightInd w:val="0"/>
              <w:spacing w:after="120"/>
              <w:ind w:firstLine="318"/>
              <w:jc w:val="both"/>
              <w:rPr>
                <w:rFonts w:ascii="Fira Sans" w:eastAsiaTheme="minorHAnsi" w:hAnsi="Fira Sans" w:cs="TimesNewRomanPSMT"/>
                <w:szCs w:val="20"/>
                <w:lang w:eastAsia="en-US"/>
              </w:rPr>
            </w:pPr>
            <w:r w:rsidRPr="00721543">
              <w:rPr>
                <w:rFonts w:ascii="Fira Sans" w:eastAsiaTheme="minorHAnsi" w:hAnsi="Fira Sans" w:cs="TimesNewRomanPS-BoldMT"/>
                <w:szCs w:val="20"/>
                <w:lang w:eastAsia="en-US"/>
              </w:rPr>
              <w:t>In linea generale, anche dall’esame degli altri correlati indicatori, emerge</w:t>
            </w:r>
            <w:r w:rsidR="00B60996">
              <w:rPr>
                <w:rFonts w:ascii="Fira Sans" w:eastAsiaTheme="minorHAnsi" w:hAnsi="Fira Sans" w:cs="TimesNewRomanPS-BoldMT"/>
                <w:szCs w:val="20"/>
                <w:lang w:eastAsia="en-US"/>
              </w:rPr>
              <w:t>,</w:t>
            </w:r>
            <w:r w:rsidRPr="00721543">
              <w:rPr>
                <w:rFonts w:ascii="Fira Sans" w:eastAsiaTheme="minorHAnsi" w:hAnsi="Fira Sans" w:cs="TimesNewRomanPS-BoldMT"/>
                <w:szCs w:val="20"/>
                <w:lang w:eastAsia="en-US"/>
              </w:rPr>
              <w:t xml:space="preserve"> soprattutto nell’ultimo anno</w:t>
            </w:r>
            <w:r w:rsidR="00B60996">
              <w:rPr>
                <w:rFonts w:ascii="Fira Sans" w:eastAsiaTheme="minorHAnsi" w:hAnsi="Fira Sans" w:cs="TimesNewRomanPS-BoldMT"/>
                <w:szCs w:val="20"/>
                <w:lang w:eastAsia="en-US"/>
              </w:rPr>
              <w:t>,</w:t>
            </w:r>
            <w:r w:rsidRPr="00721543">
              <w:rPr>
                <w:rFonts w:ascii="Fira Sans" w:eastAsiaTheme="minorHAnsi" w:hAnsi="Fira Sans" w:cs="TimesNewRomanPS-BoldMT"/>
                <w:szCs w:val="20"/>
                <w:lang w:eastAsia="en-US"/>
              </w:rPr>
              <w:t xml:space="preserve"> un rallentamento della progressione nella carriera degli studenti iscritti al CdS EMMP per le ragioni </w:t>
            </w:r>
            <w:r w:rsidR="00B60996">
              <w:rPr>
                <w:rFonts w:ascii="Fira Sans" w:eastAsiaTheme="minorHAnsi" w:hAnsi="Fira Sans" w:cs="TimesNewRomanPS-BoldMT"/>
                <w:szCs w:val="20"/>
                <w:lang w:eastAsia="en-US"/>
              </w:rPr>
              <w:t xml:space="preserve">che verranno </w:t>
            </w:r>
            <w:r w:rsidRPr="00721543">
              <w:rPr>
                <w:rFonts w:ascii="Fira Sans" w:eastAsiaTheme="minorHAnsi" w:hAnsi="Fira Sans" w:cs="TimesNewRomanPS-BoldMT"/>
                <w:szCs w:val="20"/>
                <w:lang w:eastAsia="en-US"/>
              </w:rPr>
              <w:t>descritte nell’indicato</w:t>
            </w:r>
            <w:r w:rsidR="00B60996">
              <w:rPr>
                <w:rFonts w:ascii="Fira Sans" w:eastAsiaTheme="minorHAnsi" w:hAnsi="Fira Sans" w:cs="TimesNewRomanPS-BoldMT"/>
                <w:szCs w:val="20"/>
                <w:lang w:eastAsia="en-US"/>
              </w:rPr>
              <w:t>re</w:t>
            </w:r>
            <w:r w:rsidRPr="00721543">
              <w:rPr>
                <w:rFonts w:ascii="Fira Sans" w:eastAsiaTheme="minorHAnsi" w:hAnsi="Fira Sans" w:cs="TimesNewRomanPS-BoldMT"/>
                <w:szCs w:val="20"/>
                <w:lang w:eastAsia="en-US"/>
              </w:rPr>
              <w:t xml:space="preserve"> iC15 a cui si rinvia. Anche se </w:t>
            </w:r>
            <w:r w:rsidR="00B60996" w:rsidRPr="00721543">
              <w:rPr>
                <w:rFonts w:ascii="Fira Sans" w:eastAsiaTheme="minorHAnsi" w:hAnsi="Fira Sans" w:cs="TimesNewRomanPS-BoldMT"/>
                <w:szCs w:val="20"/>
                <w:lang w:eastAsia="en-US"/>
              </w:rPr>
              <w:t>l’indicatore iC13, così come i successivi,</w:t>
            </w:r>
            <w:r w:rsidRPr="00721543">
              <w:rPr>
                <w:rFonts w:ascii="Fira Sans" w:eastAsiaTheme="minorHAnsi" w:hAnsi="Fira Sans" w:cs="TimesNewRomanPS-BoldMT"/>
                <w:szCs w:val="20"/>
                <w:lang w:eastAsia="en-US"/>
              </w:rPr>
              <w:t xml:space="preserve"> al momento </w:t>
            </w:r>
            <w:r w:rsidR="00B60996" w:rsidRPr="00721543">
              <w:rPr>
                <w:rFonts w:ascii="Fira Sans" w:eastAsiaTheme="minorHAnsi" w:hAnsi="Fira Sans" w:cs="TimesNewRomanPS-BoldMT"/>
                <w:szCs w:val="20"/>
                <w:lang w:eastAsia="en-US"/>
              </w:rPr>
              <w:t>non appaiono critici in quanto presentano</w:t>
            </w:r>
            <w:r w:rsidRPr="00721543">
              <w:rPr>
                <w:rFonts w:ascii="Fira Sans" w:eastAsiaTheme="minorHAnsi" w:hAnsi="Fira Sans" w:cs="TimesNewRomanPS-BoldMT"/>
                <w:szCs w:val="20"/>
                <w:lang w:eastAsia="en-US"/>
              </w:rPr>
              <w:t xml:space="preserve"> percentuali</w:t>
            </w:r>
            <w:r w:rsidR="00721543">
              <w:rPr>
                <w:rFonts w:ascii="Fira Sans" w:eastAsiaTheme="minorHAnsi" w:hAnsi="Fira Sans" w:cs="TimesNewRomanPS-BoldMT"/>
                <w:szCs w:val="20"/>
                <w:lang w:eastAsia="en-US"/>
              </w:rPr>
              <w:t xml:space="preserve"> elevate</w:t>
            </w:r>
            <w:r w:rsidRPr="00721543">
              <w:rPr>
                <w:rFonts w:ascii="Fira Sans" w:eastAsiaTheme="minorHAnsi" w:hAnsi="Fira Sans" w:cs="TimesNewRomanPS-BoldMT"/>
                <w:szCs w:val="20"/>
                <w:lang w:eastAsia="en-US"/>
              </w:rPr>
              <w:t>, il CCS si riserva di monitorarl</w:t>
            </w:r>
            <w:r w:rsidR="00B60996" w:rsidRPr="00721543">
              <w:rPr>
                <w:rFonts w:ascii="Fira Sans" w:eastAsiaTheme="minorHAnsi" w:hAnsi="Fira Sans" w:cs="TimesNewRomanPS-BoldMT"/>
                <w:szCs w:val="20"/>
                <w:lang w:eastAsia="en-US"/>
              </w:rPr>
              <w:t>i</w:t>
            </w:r>
            <w:r w:rsidRPr="00721543">
              <w:rPr>
                <w:rFonts w:ascii="Fira Sans" w:eastAsiaTheme="minorHAnsi" w:hAnsi="Fira Sans" w:cs="TimesNewRomanPS-BoldMT"/>
                <w:szCs w:val="20"/>
                <w:lang w:eastAsia="en-US"/>
              </w:rPr>
              <w:t xml:space="preserve"> con attenzione.</w:t>
            </w:r>
          </w:p>
          <w:p w14:paraId="06AD5345" w14:textId="3B8F08EB" w:rsidR="008856BC" w:rsidRPr="00721543" w:rsidRDefault="008856BC" w:rsidP="008856BC">
            <w:pPr>
              <w:spacing w:line="240" w:lineRule="atLeast"/>
              <w:jc w:val="both"/>
              <w:rPr>
                <w:rFonts w:ascii="Fira Sans" w:eastAsia="Century" w:hAnsi="Fira Sans" w:cs="Century"/>
                <w:szCs w:val="20"/>
                <w:u w:val="single"/>
              </w:rPr>
            </w:pPr>
            <w:r w:rsidRPr="00721543">
              <w:rPr>
                <w:rFonts w:ascii="Fira Sans" w:eastAsia="Century" w:hAnsi="Fira Sans" w:cs="Century"/>
                <w:b/>
                <w:bCs/>
                <w:szCs w:val="20"/>
                <w:u w:val="single"/>
              </w:rPr>
              <w:t>iC14 Percentuale di studenti che proseguono nel II anno nello stesso Corso di studio</w:t>
            </w:r>
          </w:p>
          <w:p w14:paraId="0E28B485" w14:textId="292277FA" w:rsidR="00F86349" w:rsidRPr="00D60934" w:rsidRDefault="008856BC" w:rsidP="008856BC">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L’indicatore relativo alla percentuale di studenti che proseguono nel II anno nel CdS EMMP</w:t>
            </w:r>
            <w:r w:rsidR="00F86349" w:rsidRPr="00D60934">
              <w:rPr>
                <w:rFonts w:ascii="Fira Sans" w:eastAsia="Century" w:hAnsi="Fira Sans" w:cs="Century"/>
                <w:szCs w:val="20"/>
              </w:rPr>
              <w:t xml:space="preserve">, pari al 100% negli anni 2017, 2018, 2019, ha subito una diminuzione nel 2020 (95,1%) collocandosi leggermente al di sotto del corrispondente dato di Ateneo e dell’Area geografica di riferimento. </w:t>
            </w:r>
          </w:p>
          <w:p w14:paraId="3BD09A62" w14:textId="6AC28BB2" w:rsidR="00DF1400" w:rsidRPr="00D60934" w:rsidRDefault="00F86349" w:rsidP="00DF1400">
            <w:pPr>
              <w:spacing w:line="240" w:lineRule="atLeast"/>
              <w:ind w:firstLine="284"/>
              <w:jc w:val="both"/>
              <w:rPr>
                <w:rFonts w:ascii="Fira Sans" w:eastAsia="Century" w:hAnsi="Fira Sans" w:cs="Century"/>
                <w:szCs w:val="20"/>
              </w:rPr>
            </w:pPr>
            <w:r w:rsidRPr="00D60934">
              <w:rPr>
                <w:rFonts w:ascii="Fira Sans" w:eastAsia="Century" w:hAnsi="Fira Sans" w:cs="Century"/>
                <w:szCs w:val="20"/>
              </w:rPr>
              <w:t xml:space="preserve">Si tratta pur sempre di </w:t>
            </w:r>
            <w:r w:rsidR="00DF1400" w:rsidRPr="00D60934">
              <w:rPr>
                <w:rFonts w:ascii="Fira Sans" w:eastAsia="Century" w:hAnsi="Fira Sans" w:cs="Century"/>
                <w:szCs w:val="20"/>
              </w:rPr>
              <w:t xml:space="preserve">una percentuale molto elevata per cui l’indicatore risulta decisamente buono </w:t>
            </w:r>
            <w:r w:rsidR="004A45AD" w:rsidRPr="00D60934">
              <w:rPr>
                <w:rFonts w:ascii="Fira Sans" w:eastAsia="Century" w:hAnsi="Fira Sans" w:cs="Century"/>
                <w:szCs w:val="20"/>
              </w:rPr>
              <w:t xml:space="preserve">il </w:t>
            </w:r>
            <w:r w:rsidR="00DF1400" w:rsidRPr="00D60934">
              <w:rPr>
                <w:rFonts w:ascii="Fira Sans" w:eastAsia="Century" w:hAnsi="Fira Sans" w:cs="Century"/>
                <w:szCs w:val="20"/>
              </w:rPr>
              <w:t>che dimostra un notevole gradimento del CdS EMMP e una scelta consapevole del Corso e delle sue specificità da parte della quasi totalità degli studenti.</w:t>
            </w:r>
          </w:p>
          <w:p w14:paraId="58ABB60F" w14:textId="0932D4E8" w:rsidR="008856BC" w:rsidRPr="00D60934" w:rsidRDefault="00DF1400" w:rsidP="00DF1400">
            <w:pPr>
              <w:spacing w:after="120" w:line="240" w:lineRule="atLeast"/>
              <w:ind w:firstLine="284"/>
              <w:jc w:val="both"/>
              <w:rPr>
                <w:rFonts w:ascii="Fira Sans" w:eastAsia="Century" w:hAnsi="Fira Sans" w:cs="Century"/>
                <w:szCs w:val="20"/>
              </w:rPr>
            </w:pPr>
            <w:r w:rsidRPr="00D60934">
              <w:rPr>
                <w:rFonts w:ascii="Fira Sans" w:eastAsia="Century" w:hAnsi="Fira Sans" w:cs="Century"/>
                <w:szCs w:val="20"/>
              </w:rPr>
              <w:t>Identiche considerazioni valgono in riferimento</w:t>
            </w:r>
            <w:r w:rsidR="008856BC" w:rsidRPr="00D60934">
              <w:rPr>
                <w:rFonts w:ascii="Fira Sans" w:eastAsia="Century" w:hAnsi="Fira Sans" w:cs="Century"/>
                <w:szCs w:val="20"/>
              </w:rPr>
              <w:t xml:space="preserve"> all’indicatore iC21 a dimostrazione che la percentuale di studenti che proseguono la carriera nel sistema universitario al II anno corrisponde esattamente alla percentuale di studenti che proseguono la carriera nel CdS EMMP. </w:t>
            </w:r>
          </w:p>
          <w:p w14:paraId="4E744DC5" w14:textId="77777777" w:rsidR="008856BC" w:rsidRPr="00046677" w:rsidRDefault="008856BC" w:rsidP="008856BC">
            <w:pPr>
              <w:spacing w:line="240" w:lineRule="atLeast"/>
              <w:jc w:val="both"/>
              <w:rPr>
                <w:rFonts w:ascii="Fira Sans" w:eastAsia="Century" w:hAnsi="Fira Sans" w:cs="Century"/>
                <w:szCs w:val="20"/>
              </w:rPr>
            </w:pPr>
            <w:r w:rsidRPr="00046677">
              <w:rPr>
                <w:rFonts w:ascii="Fira Sans" w:eastAsia="Century" w:hAnsi="Fira Sans" w:cs="Century"/>
                <w:b/>
                <w:bCs/>
                <w:smallCaps/>
                <w:szCs w:val="20"/>
              </w:rPr>
              <w:t xml:space="preserve">iC15 </w:t>
            </w:r>
            <w:r w:rsidRPr="00046677">
              <w:rPr>
                <w:rFonts w:ascii="Fira Sans" w:eastAsia="Century" w:hAnsi="Fira Sans" w:cs="Century"/>
                <w:b/>
                <w:bCs/>
                <w:szCs w:val="20"/>
              </w:rPr>
              <w:t>Percentuale di studenti che proseguono al II anno nello stesso Corso di studio avendo acquisito almeno 20 CFU al I anno</w:t>
            </w:r>
          </w:p>
          <w:p w14:paraId="703CFE56" w14:textId="12C2F04C" w:rsidR="00B478AA" w:rsidRPr="00000A45" w:rsidRDefault="008856BC" w:rsidP="00046677">
            <w:pPr>
              <w:spacing w:line="240" w:lineRule="atLeast"/>
              <w:ind w:firstLine="284"/>
              <w:jc w:val="both"/>
              <w:rPr>
                <w:rFonts w:ascii="Fira Sans" w:eastAsia="Century" w:hAnsi="Fira Sans" w:cs="Century"/>
                <w:szCs w:val="20"/>
              </w:rPr>
            </w:pPr>
            <w:r w:rsidRPr="00000A45">
              <w:rPr>
                <w:rFonts w:ascii="Fira Sans" w:eastAsia="Century" w:hAnsi="Fira Sans" w:cs="Century"/>
                <w:szCs w:val="20"/>
              </w:rPr>
              <w:t>Questo indicatore</w:t>
            </w:r>
            <w:r w:rsidR="001914DF" w:rsidRPr="00000A45">
              <w:rPr>
                <w:rFonts w:ascii="Fira Sans" w:eastAsia="Century" w:hAnsi="Fira Sans" w:cs="Century"/>
                <w:szCs w:val="20"/>
              </w:rPr>
              <w:t xml:space="preserve"> </w:t>
            </w:r>
            <w:r w:rsidR="001914DF" w:rsidRPr="00000A45">
              <w:rPr>
                <w:rFonts w:ascii="Fira Sans" w:eastAsia="Century" w:hAnsi="Fira Sans" w:cs="Century"/>
                <w:szCs w:val="20"/>
              </w:rPr>
              <w:sym w:font="Symbol" w:char="F02D"/>
            </w:r>
            <w:r w:rsidRPr="00000A45">
              <w:rPr>
                <w:rFonts w:ascii="Fira Sans" w:eastAsia="Century" w:hAnsi="Fira Sans" w:cs="Century"/>
                <w:szCs w:val="20"/>
              </w:rPr>
              <w:t xml:space="preserve"> correlato all’indicatore iC15bis</w:t>
            </w:r>
            <w:r w:rsidR="009340CE" w:rsidRPr="00000A45">
              <w:rPr>
                <w:rFonts w:ascii="Fira Sans" w:eastAsia="Century" w:hAnsi="Fira Sans" w:cs="Century"/>
                <w:szCs w:val="20"/>
              </w:rPr>
              <w:t xml:space="preserve"> </w:t>
            </w:r>
            <w:r w:rsidR="009340CE" w:rsidRPr="00000A45">
              <w:rPr>
                <w:rFonts w:ascii="Fira Sans" w:eastAsia="Century" w:hAnsi="Fira Sans" w:cs="Century"/>
                <w:szCs w:val="20"/>
              </w:rPr>
              <w:sym w:font="Symbol" w:char="F02D"/>
            </w:r>
            <w:r w:rsidRPr="00000A45">
              <w:rPr>
                <w:rFonts w:ascii="Fira Sans" w:eastAsia="Century" w:hAnsi="Fira Sans" w:cs="Century"/>
                <w:szCs w:val="20"/>
              </w:rPr>
              <w:t xml:space="preserve"> </w:t>
            </w:r>
            <w:r w:rsidR="00046677" w:rsidRPr="00000A45">
              <w:rPr>
                <w:rFonts w:ascii="Fira Sans" w:eastAsia="Century" w:hAnsi="Fira Sans" w:cs="Century"/>
                <w:szCs w:val="20"/>
              </w:rPr>
              <w:t>seppure elevato</w:t>
            </w:r>
            <w:r w:rsidR="009340CE" w:rsidRPr="00000A45">
              <w:rPr>
                <w:rFonts w:ascii="Fira Sans" w:eastAsia="Century" w:hAnsi="Fira Sans" w:cs="Century"/>
                <w:szCs w:val="20"/>
              </w:rPr>
              <w:t>,</w:t>
            </w:r>
            <w:r w:rsidR="00046677" w:rsidRPr="00000A45">
              <w:rPr>
                <w:rFonts w:ascii="Fira Sans" w:eastAsia="Century" w:hAnsi="Fira Sans" w:cs="Century"/>
                <w:szCs w:val="20"/>
              </w:rPr>
              <w:t xml:space="preserve"> si caratterizza per una lenta, ma costante diminuzione nel corso degli anni </w:t>
            </w:r>
            <w:r w:rsidR="004E2EC9" w:rsidRPr="00000A45">
              <w:rPr>
                <w:rFonts w:ascii="Fira Sans" w:eastAsia="Century" w:hAnsi="Fira Sans" w:cs="Century"/>
                <w:szCs w:val="20"/>
              </w:rPr>
              <w:t xml:space="preserve">(100% nel 2017, 96,8% nel 2018, 95,8% nel 2019, 88,9% nel 2020) </w:t>
            </w:r>
            <w:r w:rsidR="00046677" w:rsidRPr="00000A45">
              <w:rPr>
                <w:rFonts w:ascii="Fira Sans" w:eastAsia="Century" w:hAnsi="Fira Sans" w:cs="Century"/>
                <w:szCs w:val="20"/>
              </w:rPr>
              <w:t>tanto che, nell’ultimo anno di rilevazione del dato, la percentuale del CdS EMMP, diversamente dagli anni precedenti, risulta leggermente inferiore rispetto a quelle dell’Ateneo e dell’Area geografica</w:t>
            </w:r>
            <w:r w:rsidR="003C6CD2" w:rsidRPr="00000A45">
              <w:rPr>
                <w:rFonts w:ascii="Fira Sans" w:eastAsia="Century" w:hAnsi="Fira Sans" w:cs="Century"/>
                <w:szCs w:val="20"/>
              </w:rPr>
              <w:t xml:space="preserve"> del Nord-Ovest</w:t>
            </w:r>
            <w:r w:rsidR="00046677" w:rsidRPr="00000A45">
              <w:rPr>
                <w:rFonts w:ascii="Fira Sans" w:eastAsia="Century" w:hAnsi="Fira Sans" w:cs="Century"/>
                <w:szCs w:val="20"/>
              </w:rPr>
              <w:t>.</w:t>
            </w:r>
            <w:r w:rsidR="00B478AA" w:rsidRPr="00000A45">
              <w:rPr>
                <w:rFonts w:ascii="Fira Sans" w:eastAsia="Century" w:hAnsi="Fira Sans" w:cs="Century"/>
                <w:szCs w:val="20"/>
              </w:rPr>
              <w:t xml:space="preserve"> </w:t>
            </w:r>
          </w:p>
          <w:p w14:paraId="5D7DBC99" w14:textId="7F33E94E" w:rsidR="002D01F0" w:rsidRPr="00000A45" w:rsidRDefault="002D01F0" w:rsidP="00F8082A">
            <w:pPr>
              <w:spacing w:line="240" w:lineRule="atLeast"/>
              <w:ind w:firstLine="284"/>
              <w:jc w:val="both"/>
              <w:rPr>
                <w:rFonts w:ascii="Fira Sans" w:eastAsia="Century" w:hAnsi="Fira Sans" w:cs="Century"/>
                <w:szCs w:val="20"/>
              </w:rPr>
            </w:pPr>
            <w:r w:rsidRPr="00000A45">
              <w:rPr>
                <w:rFonts w:ascii="Fira Sans" w:eastAsia="Century" w:hAnsi="Fira Sans" w:cs="Century"/>
                <w:szCs w:val="20"/>
              </w:rPr>
              <w:t xml:space="preserve">L’indicatore, essendo </w:t>
            </w:r>
            <w:r w:rsidR="00D60934" w:rsidRPr="00000A45">
              <w:rPr>
                <w:rFonts w:ascii="Fira Sans" w:eastAsia="Century" w:hAnsi="Fira Sans" w:cs="Century"/>
                <w:szCs w:val="20"/>
              </w:rPr>
              <w:t xml:space="preserve">ancora </w:t>
            </w:r>
            <w:r w:rsidRPr="00000A45">
              <w:rPr>
                <w:rFonts w:ascii="Fira Sans" w:eastAsia="Century" w:hAnsi="Fira Sans" w:cs="Century"/>
                <w:szCs w:val="20"/>
              </w:rPr>
              <w:t>elevato, di per sé non appare aver raggiunto livelli critici. Tuttavia</w:t>
            </w:r>
            <w:r w:rsidR="00F8082A" w:rsidRPr="00000A45">
              <w:rPr>
                <w:rFonts w:ascii="Fira Sans" w:eastAsia="Century" w:hAnsi="Fira Sans" w:cs="Century"/>
                <w:szCs w:val="20"/>
              </w:rPr>
              <w:t>,</w:t>
            </w:r>
            <w:r w:rsidRPr="00000A45">
              <w:rPr>
                <w:rFonts w:ascii="Fira Sans" w:eastAsia="Century" w:hAnsi="Fira Sans" w:cs="Century"/>
                <w:szCs w:val="20"/>
              </w:rPr>
              <w:t xml:space="preserve"> occorre </w:t>
            </w:r>
            <w:r w:rsidR="00F8082A" w:rsidRPr="00000A45">
              <w:rPr>
                <w:rFonts w:ascii="Fira Sans" w:eastAsia="Century" w:hAnsi="Fira Sans" w:cs="Century"/>
                <w:szCs w:val="20"/>
              </w:rPr>
              <w:t xml:space="preserve">fin da ora </w:t>
            </w:r>
            <w:r w:rsidRPr="00000A45">
              <w:rPr>
                <w:rFonts w:ascii="Fira Sans" w:eastAsia="Century" w:hAnsi="Fira Sans" w:cs="Century"/>
                <w:szCs w:val="20"/>
              </w:rPr>
              <w:t xml:space="preserve">osservare che anche gli altri indicatori relativi all’avanzamento delle carriere degli studenti, qui di seguito riportati, presentano analoghi e </w:t>
            </w:r>
            <w:r w:rsidR="00D841B5" w:rsidRPr="00000A45">
              <w:rPr>
                <w:rFonts w:ascii="Fira Sans" w:eastAsia="Century" w:hAnsi="Fira Sans" w:cs="Century"/>
                <w:szCs w:val="20"/>
              </w:rPr>
              <w:t xml:space="preserve">in taluni casi </w:t>
            </w:r>
            <w:r w:rsidRPr="00000A45">
              <w:rPr>
                <w:rFonts w:ascii="Fira Sans" w:eastAsia="Century" w:hAnsi="Fira Sans" w:cs="Century"/>
                <w:szCs w:val="20"/>
              </w:rPr>
              <w:t>ancor più incisivi trend di decrescita soprattutto nell’ultimo anno di rilevazione</w:t>
            </w:r>
            <w:r w:rsidR="00D60934" w:rsidRPr="00000A45">
              <w:rPr>
                <w:rFonts w:ascii="Fira Sans" w:eastAsia="Century" w:hAnsi="Fira Sans" w:cs="Century"/>
                <w:szCs w:val="20"/>
              </w:rPr>
              <w:t xml:space="preserve"> (2020)</w:t>
            </w:r>
            <w:r w:rsidR="003C6CD2" w:rsidRPr="00000A45">
              <w:rPr>
                <w:rFonts w:ascii="Fira Sans" w:eastAsia="Century" w:hAnsi="Fira Sans" w:cs="Century"/>
                <w:szCs w:val="20"/>
              </w:rPr>
              <w:t>. Quest’ultimo dato</w:t>
            </w:r>
            <w:r w:rsidR="00F8082A" w:rsidRPr="00000A45">
              <w:rPr>
                <w:rFonts w:ascii="Fira Sans" w:eastAsia="Century" w:hAnsi="Fira Sans" w:cs="Century"/>
                <w:szCs w:val="20"/>
              </w:rPr>
              <w:t>, peraltro, appare non del tutto significativo in quanto potrebbe essere stato influenzato dall’improvviso diffondersi della pandemia</w:t>
            </w:r>
            <w:r w:rsidR="009629AD" w:rsidRPr="00000A45">
              <w:rPr>
                <w:rFonts w:ascii="Fira Sans" w:eastAsia="Century" w:hAnsi="Fira Sans" w:cs="Century"/>
                <w:szCs w:val="20"/>
              </w:rPr>
              <w:t xml:space="preserve"> che</w:t>
            </w:r>
            <w:r w:rsidR="00C675CB" w:rsidRPr="00000A45">
              <w:rPr>
                <w:rFonts w:ascii="Fira Sans" w:eastAsia="Century" w:hAnsi="Fira Sans" w:cs="Century"/>
                <w:szCs w:val="20"/>
              </w:rPr>
              <w:t xml:space="preserve">, soprattutto nei primi mesi, anche a causa di difficoltà tecniche e di connessione internet, </w:t>
            </w:r>
            <w:r w:rsidR="00D60934" w:rsidRPr="00000A45">
              <w:rPr>
                <w:rFonts w:ascii="Fira Sans" w:eastAsia="Century" w:hAnsi="Fira Sans" w:cs="Century"/>
                <w:szCs w:val="20"/>
              </w:rPr>
              <w:t>ha</w:t>
            </w:r>
            <w:r w:rsidR="009629AD" w:rsidRPr="00000A45">
              <w:rPr>
                <w:rFonts w:ascii="Fira Sans" w:eastAsia="Century" w:hAnsi="Fira Sans" w:cs="Century"/>
                <w:szCs w:val="20"/>
              </w:rPr>
              <w:t xml:space="preserve"> reso difficile per </w:t>
            </w:r>
            <w:r w:rsidR="00C675CB" w:rsidRPr="00000A45">
              <w:rPr>
                <w:rFonts w:ascii="Fira Sans" w:eastAsia="Century" w:hAnsi="Fira Sans" w:cs="Century"/>
                <w:szCs w:val="20"/>
              </w:rPr>
              <w:t>alcuni</w:t>
            </w:r>
            <w:r w:rsidR="009629AD" w:rsidRPr="00000A45">
              <w:rPr>
                <w:rFonts w:ascii="Fira Sans" w:eastAsia="Century" w:hAnsi="Fira Sans" w:cs="Century"/>
                <w:szCs w:val="20"/>
              </w:rPr>
              <w:t xml:space="preserve"> studenti seguire la didattica online sincrona e asincrona organizzata </w:t>
            </w:r>
            <w:r w:rsidR="00C675CB" w:rsidRPr="00000A45">
              <w:rPr>
                <w:rFonts w:ascii="Fira Sans" w:eastAsia="Century" w:hAnsi="Fira Sans" w:cs="Century"/>
                <w:szCs w:val="20"/>
              </w:rPr>
              <w:t>dai docenti</w:t>
            </w:r>
            <w:r w:rsidR="009629AD" w:rsidRPr="00000A45">
              <w:rPr>
                <w:rFonts w:ascii="Fira Sans" w:eastAsia="Century" w:hAnsi="Fira Sans" w:cs="Century"/>
                <w:szCs w:val="20"/>
              </w:rPr>
              <w:t xml:space="preserve"> per consentire la prosecuzione </w:t>
            </w:r>
            <w:r w:rsidR="009340CE" w:rsidRPr="00000A45">
              <w:rPr>
                <w:rFonts w:ascii="Fira Sans" w:eastAsia="Century" w:hAnsi="Fira Sans" w:cs="Century"/>
                <w:szCs w:val="20"/>
              </w:rPr>
              <w:t xml:space="preserve">dell’erogazione </w:t>
            </w:r>
            <w:r w:rsidR="009629AD" w:rsidRPr="00000A45">
              <w:rPr>
                <w:rFonts w:ascii="Fira Sans" w:eastAsia="Century" w:hAnsi="Fira Sans" w:cs="Century"/>
                <w:szCs w:val="20"/>
              </w:rPr>
              <w:t>della didattica del secondo semestre dell’a.a. 2019/2020</w:t>
            </w:r>
            <w:r w:rsidR="00C675CB" w:rsidRPr="00000A45">
              <w:rPr>
                <w:rFonts w:ascii="Fira Sans" w:eastAsia="Century" w:hAnsi="Fira Sans" w:cs="Century"/>
                <w:szCs w:val="20"/>
              </w:rPr>
              <w:t xml:space="preserve"> improvvisamente interrotta</w:t>
            </w:r>
            <w:r w:rsidR="00C80CF1" w:rsidRPr="00000A45">
              <w:rPr>
                <w:rFonts w:ascii="Fira Sans" w:eastAsia="Century" w:hAnsi="Fira Sans" w:cs="Century"/>
                <w:szCs w:val="20"/>
              </w:rPr>
              <w:t xml:space="preserve"> a causa del divieto di svolgere lezioni in sede</w:t>
            </w:r>
            <w:r w:rsidRPr="00000A45">
              <w:rPr>
                <w:rFonts w:ascii="Fira Sans" w:eastAsia="Century" w:hAnsi="Fira Sans" w:cs="Century"/>
                <w:szCs w:val="20"/>
              </w:rPr>
              <w:t>.</w:t>
            </w:r>
            <w:r w:rsidR="00F8082A" w:rsidRPr="00000A45">
              <w:rPr>
                <w:rFonts w:ascii="Fira Sans" w:eastAsia="Century" w:hAnsi="Fira Sans" w:cs="Century"/>
                <w:szCs w:val="20"/>
              </w:rPr>
              <w:t xml:space="preserve"> </w:t>
            </w:r>
          </w:p>
          <w:p w14:paraId="413D127D" w14:textId="6E39509D" w:rsidR="00C675CB" w:rsidRPr="00000A45" w:rsidRDefault="00C675CB" w:rsidP="00F8082A">
            <w:pPr>
              <w:spacing w:line="240" w:lineRule="atLeast"/>
              <w:ind w:firstLine="284"/>
              <w:jc w:val="both"/>
              <w:rPr>
                <w:rFonts w:ascii="Fira Sans" w:eastAsia="Century" w:hAnsi="Fira Sans" w:cs="Century"/>
                <w:szCs w:val="20"/>
              </w:rPr>
            </w:pPr>
            <w:r w:rsidRPr="00000A45">
              <w:rPr>
                <w:rFonts w:ascii="Fira Sans" w:eastAsia="Century" w:hAnsi="Fira Sans" w:cs="Century"/>
                <w:szCs w:val="20"/>
              </w:rPr>
              <w:t>Senza</w:t>
            </w:r>
            <w:r w:rsidR="00C80CF1" w:rsidRPr="00000A45">
              <w:rPr>
                <w:rFonts w:ascii="Fira Sans" w:eastAsia="Century" w:hAnsi="Fira Sans" w:cs="Century"/>
                <w:szCs w:val="20"/>
              </w:rPr>
              <w:t>,</w:t>
            </w:r>
            <w:r w:rsidRPr="00000A45">
              <w:rPr>
                <w:rFonts w:ascii="Fira Sans" w:eastAsia="Century" w:hAnsi="Fira Sans" w:cs="Century"/>
                <w:szCs w:val="20"/>
              </w:rPr>
              <w:t xml:space="preserve"> quindi</w:t>
            </w:r>
            <w:r w:rsidR="00C80CF1" w:rsidRPr="00000A45">
              <w:rPr>
                <w:rFonts w:ascii="Fira Sans" w:eastAsia="Century" w:hAnsi="Fira Sans" w:cs="Century"/>
                <w:szCs w:val="20"/>
              </w:rPr>
              <w:t>,</w:t>
            </w:r>
            <w:r w:rsidRPr="00000A45">
              <w:rPr>
                <w:rFonts w:ascii="Fira Sans" w:eastAsia="Century" w:hAnsi="Fira Sans" w:cs="Century"/>
                <w:szCs w:val="20"/>
              </w:rPr>
              <w:t xml:space="preserve"> dare eccessiva </w:t>
            </w:r>
            <w:r w:rsidR="009340CE" w:rsidRPr="00000A45">
              <w:rPr>
                <w:rFonts w:ascii="Fira Sans" w:eastAsia="Century" w:hAnsi="Fira Sans" w:cs="Century"/>
                <w:szCs w:val="20"/>
              </w:rPr>
              <w:t>rilevanza</w:t>
            </w:r>
            <w:r w:rsidRPr="00000A45">
              <w:rPr>
                <w:rFonts w:ascii="Fira Sans" w:eastAsia="Century" w:hAnsi="Fira Sans" w:cs="Century"/>
                <w:szCs w:val="20"/>
              </w:rPr>
              <w:t xml:space="preserve"> al dato del 2020, l’indicatore</w:t>
            </w:r>
            <w:r w:rsidR="00C80CF1" w:rsidRPr="00000A45">
              <w:rPr>
                <w:rFonts w:ascii="Fira Sans" w:eastAsia="Century" w:hAnsi="Fira Sans" w:cs="Century"/>
                <w:szCs w:val="20"/>
              </w:rPr>
              <w:t xml:space="preserve"> iC15</w:t>
            </w:r>
            <w:r w:rsidRPr="00000A45">
              <w:rPr>
                <w:rFonts w:ascii="Fira Sans" w:eastAsia="Century" w:hAnsi="Fira Sans" w:cs="Century"/>
                <w:szCs w:val="20"/>
              </w:rPr>
              <w:t xml:space="preserve"> merita alcune osservazioni di carattere generale.</w:t>
            </w:r>
          </w:p>
          <w:p w14:paraId="47C3C97F" w14:textId="17C0D809" w:rsidR="00F8082A" w:rsidRPr="00000A45" w:rsidRDefault="00F8082A" w:rsidP="00F8082A">
            <w:pPr>
              <w:spacing w:line="240" w:lineRule="atLeast"/>
              <w:ind w:firstLine="284"/>
              <w:jc w:val="both"/>
              <w:rPr>
                <w:rFonts w:ascii="Fira Sans" w:eastAsia="Century" w:hAnsi="Fira Sans" w:cs="Century"/>
                <w:szCs w:val="20"/>
              </w:rPr>
            </w:pPr>
            <w:r w:rsidRPr="00000A45">
              <w:rPr>
                <w:rFonts w:ascii="Fira Sans" w:eastAsia="Century" w:hAnsi="Fira Sans" w:cs="Century"/>
                <w:szCs w:val="20"/>
              </w:rPr>
              <w:t xml:space="preserve">Se in termini percentuali </w:t>
            </w:r>
            <w:r w:rsidR="00E50D67" w:rsidRPr="00000A45">
              <w:rPr>
                <w:rFonts w:ascii="Fira Sans" w:eastAsia="Century" w:hAnsi="Fira Sans" w:cs="Century"/>
                <w:szCs w:val="20"/>
              </w:rPr>
              <w:t>si è passati</w:t>
            </w:r>
            <w:r w:rsidRPr="00000A45">
              <w:rPr>
                <w:rFonts w:ascii="Fira Sans" w:eastAsia="Century" w:hAnsi="Fira Sans" w:cs="Century"/>
                <w:szCs w:val="20"/>
              </w:rPr>
              <w:t xml:space="preserve"> dal 100% nel 2017 al 88,9% nel 2020, in termini assoluti bisogna </w:t>
            </w:r>
            <w:r w:rsidR="00E50D67" w:rsidRPr="00000A45">
              <w:rPr>
                <w:rFonts w:ascii="Fira Sans" w:eastAsia="Century" w:hAnsi="Fira Sans" w:cs="Century"/>
                <w:szCs w:val="20"/>
              </w:rPr>
              <w:t>tener presente</w:t>
            </w:r>
            <w:r w:rsidRPr="00000A45">
              <w:rPr>
                <w:rFonts w:ascii="Fira Sans" w:eastAsia="Century" w:hAnsi="Fira Sans" w:cs="Century"/>
                <w:szCs w:val="20"/>
              </w:rPr>
              <w:t xml:space="preserve"> che il denominatore nel corso di questi quattro anni si è raddoppiato (da 41 studenti a 81 studenti). La presenza di un numero maggior</w:t>
            </w:r>
            <w:r w:rsidR="00437D41" w:rsidRPr="00000A45">
              <w:rPr>
                <w:rFonts w:ascii="Fira Sans" w:eastAsia="Century" w:hAnsi="Fira Sans" w:cs="Century"/>
                <w:szCs w:val="20"/>
              </w:rPr>
              <w:t>e</w:t>
            </w:r>
            <w:r w:rsidRPr="00000A45">
              <w:rPr>
                <w:rFonts w:ascii="Fira Sans" w:eastAsia="Century" w:hAnsi="Fira Sans" w:cs="Century"/>
                <w:szCs w:val="20"/>
              </w:rPr>
              <w:t xml:space="preserve"> di studenti, tra cui </w:t>
            </w:r>
            <w:r w:rsidR="00D841B5" w:rsidRPr="00000A45">
              <w:rPr>
                <w:rFonts w:ascii="Fira Sans" w:eastAsia="Century" w:hAnsi="Fira Sans" w:cs="Century"/>
                <w:szCs w:val="20"/>
              </w:rPr>
              <w:t xml:space="preserve">alcuni </w:t>
            </w:r>
            <w:r w:rsidRPr="00000A45">
              <w:rPr>
                <w:rFonts w:ascii="Fira Sans" w:eastAsia="Century" w:hAnsi="Fira Sans" w:cs="Century"/>
                <w:szCs w:val="20"/>
              </w:rPr>
              <w:t xml:space="preserve">provenienti da </w:t>
            </w:r>
            <w:r w:rsidR="00D841B5" w:rsidRPr="00000A45">
              <w:rPr>
                <w:rFonts w:ascii="Fira Sans" w:eastAsia="Century" w:hAnsi="Fira Sans" w:cs="Century"/>
                <w:szCs w:val="20"/>
              </w:rPr>
              <w:t xml:space="preserve">diversi </w:t>
            </w:r>
            <w:r w:rsidRPr="00000A45">
              <w:rPr>
                <w:rFonts w:ascii="Fira Sans" w:eastAsia="Century" w:hAnsi="Fira Sans" w:cs="Century"/>
                <w:szCs w:val="20"/>
              </w:rPr>
              <w:t xml:space="preserve">corsi di laurea triennali </w:t>
            </w:r>
            <w:r w:rsidR="00000A45" w:rsidRPr="00000A45">
              <w:rPr>
                <w:rFonts w:ascii="Fira Sans" w:eastAsia="Century" w:hAnsi="Fira Sans" w:cs="Century"/>
                <w:szCs w:val="20"/>
              </w:rPr>
              <w:t>non specialistici</w:t>
            </w:r>
            <w:r w:rsidR="00D841B5" w:rsidRPr="00000A45">
              <w:rPr>
                <w:rFonts w:ascii="Fira Sans" w:eastAsia="Century" w:hAnsi="Fira Sans" w:cs="Century"/>
                <w:szCs w:val="20"/>
              </w:rPr>
              <w:t xml:space="preserve"> in materia di </w:t>
            </w:r>
            <w:r w:rsidR="00D841B5" w:rsidRPr="00000A45">
              <w:rPr>
                <w:rFonts w:ascii="Fira Sans" w:eastAsia="Century" w:hAnsi="Fira Sans" w:cs="Century"/>
                <w:i/>
                <w:iCs/>
                <w:szCs w:val="20"/>
              </w:rPr>
              <w:t>shipping</w:t>
            </w:r>
            <w:r w:rsidR="00D841B5" w:rsidRPr="00000A45">
              <w:rPr>
                <w:rFonts w:ascii="Fira Sans" w:eastAsia="Century" w:hAnsi="Fira Sans" w:cs="Century"/>
                <w:szCs w:val="20"/>
              </w:rPr>
              <w:t xml:space="preserve"> e alcuni stranieri con </w:t>
            </w:r>
            <w:r w:rsidR="00000A45" w:rsidRPr="00000A45">
              <w:rPr>
                <w:rFonts w:ascii="Fira Sans" w:eastAsia="Century" w:hAnsi="Fira Sans" w:cs="Century"/>
                <w:szCs w:val="20"/>
              </w:rPr>
              <w:t xml:space="preserve">possibili </w:t>
            </w:r>
            <w:r w:rsidR="00D841B5" w:rsidRPr="00000A45">
              <w:rPr>
                <w:rFonts w:ascii="Fira Sans" w:eastAsia="Century" w:hAnsi="Fira Sans" w:cs="Century"/>
                <w:szCs w:val="20"/>
              </w:rPr>
              <w:t xml:space="preserve">problemi di lingua, può aver comportato per </w:t>
            </w:r>
            <w:r w:rsidR="00CB0C1F" w:rsidRPr="00000A45">
              <w:rPr>
                <w:rFonts w:ascii="Fira Sans" w:eastAsia="Century" w:hAnsi="Fira Sans" w:cs="Century"/>
                <w:szCs w:val="20"/>
              </w:rPr>
              <w:t>taluni</w:t>
            </w:r>
            <w:r w:rsidR="00D841B5" w:rsidRPr="00000A45">
              <w:rPr>
                <w:rFonts w:ascii="Fira Sans" w:eastAsia="Century" w:hAnsi="Fira Sans" w:cs="Century"/>
                <w:szCs w:val="20"/>
              </w:rPr>
              <w:t xml:space="preserve"> di loro (9 su 81 nel 2020</w:t>
            </w:r>
            <w:r w:rsidR="00C675CB" w:rsidRPr="00000A45">
              <w:rPr>
                <w:rFonts w:ascii="Fira Sans" w:eastAsia="Century" w:hAnsi="Fira Sans" w:cs="Century"/>
                <w:szCs w:val="20"/>
              </w:rPr>
              <w:t>, 3 su 71 nel 2019</w:t>
            </w:r>
            <w:r w:rsidR="00D841B5" w:rsidRPr="00000A45">
              <w:rPr>
                <w:rFonts w:ascii="Fira Sans" w:eastAsia="Century" w:hAnsi="Fira Sans" w:cs="Century"/>
                <w:szCs w:val="20"/>
              </w:rPr>
              <w:t xml:space="preserve">) difficoltà di </w:t>
            </w:r>
            <w:r w:rsidR="00437D41" w:rsidRPr="00000A45">
              <w:rPr>
                <w:rFonts w:ascii="Fira Sans" w:eastAsia="Century" w:hAnsi="Fira Sans" w:cs="Century"/>
                <w:szCs w:val="20"/>
              </w:rPr>
              <w:t>adattamento</w:t>
            </w:r>
            <w:r w:rsidR="00D841B5" w:rsidRPr="00000A45">
              <w:rPr>
                <w:rFonts w:ascii="Fira Sans" w:eastAsia="Century" w:hAnsi="Fira Sans" w:cs="Century"/>
                <w:szCs w:val="20"/>
              </w:rPr>
              <w:t xml:space="preserve"> nel primo anno tali da rallentare il percorso di studi.</w:t>
            </w:r>
          </w:p>
          <w:p w14:paraId="423F34A4" w14:textId="27D68E3F" w:rsidR="00D841B5" w:rsidRPr="00000A45" w:rsidRDefault="00D841B5" w:rsidP="00F8082A">
            <w:pPr>
              <w:spacing w:line="240" w:lineRule="atLeast"/>
              <w:ind w:firstLine="284"/>
              <w:jc w:val="both"/>
              <w:rPr>
                <w:rFonts w:ascii="Fira Sans" w:eastAsia="Century" w:hAnsi="Fira Sans" w:cs="Century"/>
                <w:szCs w:val="20"/>
              </w:rPr>
            </w:pPr>
            <w:r w:rsidRPr="00000A45">
              <w:rPr>
                <w:rFonts w:ascii="Fira Sans" w:eastAsia="Century" w:hAnsi="Fira Sans" w:cs="Century"/>
                <w:szCs w:val="20"/>
              </w:rPr>
              <w:t xml:space="preserve">Va però tenuta presente anche un’altra </w:t>
            </w:r>
            <w:r w:rsidR="007C0E6C" w:rsidRPr="00000A45">
              <w:rPr>
                <w:rFonts w:ascii="Fira Sans" w:eastAsia="Century" w:hAnsi="Fira Sans" w:cs="Century"/>
                <w:szCs w:val="20"/>
              </w:rPr>
              <w:t xml:space="preserve">importante </w:t>
            </w:r>
            <w:r w:rsidRPr="00000A45">
              <w:rPr>
                <w:rFonts w:ascii="Fira Sans" w:eastAsia="Century" w:hAnsi="Fira Sans" w:cs="Century"/>
                <w:szCs w:val="20"/>
              </w:rPr>
              <w:t xml:space="preserve">considerazione. Dai colloqui con gli studenti </w:t>
            </w:r>
            <w:r w:rsidR="009710B5" w:rsidRPr="00000A45">
              <w:rPr>
                <w:rFonts w:ascii="Fira Sans" w:eastAsia="Century" w:hAnsi="Fira Sans" w:cs="Century"/>
                <w:szCs w:val="20"/>
              </w:rPr>
              <w:t xml:space="preserve">e tesisti </w:t>
            </w:r>
            <w:r w:rsidRPr="00000A45">
              <w:rPr>
                <w:rFonts w:ascii="Fira Sans" w:eastAsia="Century" w:hAnsi="Fira Sans" w:cs="Century"/>
                <w:szCs w:val="20"/>
              </w:rPr>
              <w:t xml:space="preserve">si </w:t>
            </w:r>
            <w:r w:rsidR="009710B5" w:rsidRPr="00000A45">
              <w:rPr>
                <w:rFonts w:ascii="Fira Sans" w:eastAsia="Century" w:hAnsi="Fira Sans" w:cs="Century"/>
                <w:szCs w:val="20"/>
              </w:rPr>
              <w:t xml:space="preserve">nota come in </w:t>
            </w:r>
            <w:r w:rsidR="009629AD" w:rsidRPr="00000A45">
              <w:rPr>
                <w:rFonts w:ascii="Fira Sans" w:eastAsia="Century" w:hAnsi="Fira Sans" w:cs="Century"/>
                <w:szCs w:val="20"/>
              </w:rPr>
              <w:t xml:space="preserve">linea generale in </w:t>
            </w:r>
            <w:r w:rsidR="009710B5" w:rsidRPr="00000A45">
              <w:rPr>
                <w:rFonts w:ascii="Fira Sans" w:eastAsia="Century" w:hAnsi="Fira Sans" w:cs="Century"/>
                <w:szCs w:val="20"/>
              </w:rPr>
              <w:t xml:space="preserve">questi ultimi anni il numero di studenti che lavorano è aumentato grazie alle maggiori opportunità di offerte da parte del mercato a cui fa riscontro la crescente necessità per </w:t>
            </w:r>
            <w:r w:rsidR="00437D41" w:rsidRPr="00000A45">
              <w:rPr>
                <w:rFonts w:ascii="Fira Sans" w:eastAsia="Century" w:hAnsi="Fira Sans" w:cs="Century"/>
                <w:szCs w:val="20"/>
              </w:rPr>
              <w:t>vari</w:t>
            </w:r>
            <w:r w:rsidR="009710B5" w:rsidRPr="00000A45">
              <w:rPr>
                <w:rFonts w:ascii="Fira Sans" w:eastAsia="Century" w:hAnsi="Fira Sans" w:cs="Century"/>
                <w:szCs w:val="20"/>
              </w:rPr>
              <w:t xml:space="preserve"> studenti di mantenersi negli studi a caus</w:t>
            </w:r>
            <w:r w:rsidR="00437D41" w:rsidRPr="00000A45">
              <w:rPr>
                <w:rFonts w:ascii="Fira Sans" w:eastAsia="Century" w:hAnsi="Fira Sans" w:cs="Century"/>
                <w:szCs w:val="20"/>
              </w:rPr>
              <w:t>a</w:t>
            </w:r>
            <w:r w:rsidR="009710B5" w:rsidRPr="00000A45">
              <w:rPr>
                <w:rFonts w:ascii="Fira Sans" w:eastAsia="Century" w:hAnsi="Fira Sans" w:cs="Century"/>
                <w:szCs w:val="20"/>
              </w:rPr>
              <w:t xml:space="preserve"> delle difficoltà economiche </w:t>
            </w:r>
            <w:r w:rsidR="009629AD" w:rsidRPr="00000A45">
              <w:rPr>
                <w:rFonts w:ascii="Fira Sans" w:eastAsia="Century" w:hAnsi="Fira Sans" w:cs="Century"/>
                <w:szCs w:val="20"/>
              </w:rPr>
              <w:t>ancor più avvertite a seguito de</w:t>
            </w:r>
            <w:r w:rsidR="009710B5" w:rsidRPr="00000A45">
              <w:rPr>
                <w:rFonts w:ascii="Fira Sans" w:eastAsia="Century" w:hAnsi="Fira Sans" w:cs="Century"/>
                <w:szCs w:val="20"/>
              </w:rPr>
              <w:t>ll’avvento della pandemia.</w:t>
            </w:r>
          </w:p>
          <w:p w14:paraId="3AED8CF8" w14:textId="0A17654A" w:rsidR="002D01F0" w:rsidRPr="00000A45" w:rsidRDefault="00C77465" w:rsidP="00437D41">
            <w:pPr>
              <w:spacing w:after="120" w:line="240" w:lineRule="atLeast"/>
              <w:ind w:firstLine="284"/>
              <w:jc w:val="both"/>
              <w:rPr>
                <w:rFonts w:ascii="Fira Sans" w:eastAsia="Century" w:hAnsi="Fira Sans" w:cs="Century"/>
                <w:szCs w:val="20"/>
              </w:rPr>
            </w:pPr>
            <w:r w:rsidRPr="00000A45">
              <w:rPr>
                <w:rFonts w:ascii="Fira Sans" w:eastAsia="Century" w:hAnsi="Fira Sans" w:cs="Century"/>
                <w:szCs w:val="20"/>
              </w:rPr>
              <w:t xml:space="preserve">La scelta </w:t>
            </w:r>
            <w:r w:rsidR="00437D41" w:rsidRPr="00000A45">
              <w:rPr>
                <w:rFonts w:ascii="Fira Sans" w:eastAsia="Century" w:hAnsi="Fira Sans" w:cs="Century"/>
                <w:szCs w:val="20"/>
              </w:rPr>
              <w:t xml:space="preserve">da parte di un numero crescente di studenti </w:t>
            </w:r>
            <w:r w:rsidRPr="00000A45">
              <w:rPr>
                <w:rFonts w:ascii="Fira Sans" w:eastAsia="Century" w:hAnsi="Fira Sans" w:cs="Century"/>
                <w:szCs w:val="20"/>
              </w:rPr>
              <w:t xml:space="preserve">di dedicarsi al lavoro non solo </w:t>
            </w:r>
            <w:r w:rsidR="00CD43B6" w:rsidRPr="00000A45">
              <w:rPr>
                <w:rFonts w:ascii="Fira Sans" w:eastAsia="Century" w:hAnsi="Fira Sans" w:cs="Century"/>
                <w:szCs w:val="20"/>
              </w:rPr>
              <w:t>potrebbe aver comportato</w:t>
            </w:r>
            <w:r w:rsidRPr="00000A45">
              <w:rPr>
                <w:rFonts w:ascii="Fira Sans" w:eastAsia="Century" w:hAnsi="Fira Sans" w:cs="Century"/>
                <w:szCs w:val="20"/>
              </w:rPr>
              <w:t xml:space="preserve"> un rallentamento del percorso degli studi, ma giustific</w:t>
            </w:r>
            <w:r w:rsidR="00751F01" w:rsidRPr="00000A45">
              <w:rPr>
                <w:rFonts w:ascii="Fira Sans" w:eastAsia="Century" w:hAnsi="Fira Sans" w:cs="Century"/>
                <w:szCs w:val="20"/>
              </w:rPr>
              <w:t>herebbe</w:t>
            </w:r>
            <w:r w:rsidRPr="00000A45">
              <w:rPr>
                <w:rFonts w:ascii="Fira Sans" w:eastAsia="Century" w:hAnsi="Fira Sans" w:cs="Century"/>
                <w:szCs w:val="20"/>
              </w:rPr>
              <w:t xml:space="preserve"> anche </w:t>
            </w:r>
            <w:r w:rsidR="007C0E6C" w:rsidRPr="00000A45">
              <w:rPr>
                <w:rFonts w:ascii="Fira Sans" w:eastAsia="Century" w:hAnsi="Fira Sans" w:cs="Century"/>
                <w:szCs w:val="20"/>
              </w:rPr>
              <w:t>il basso livello di conseguimento di CFU all’estero (v. indicatori iC10 e iC11).</w:t>
            </w:r>
            <w:r w:rsidR="009629AD" w:rsidRPr="00000A45">
              <w:rPr>
                <w:rFonts w:ascii="Fira Sans" w:eastAsia="Century" w:hAnsi="Fira Sans" w:cs="Century"/>
                <w:szCs w:val="20"/>
              </w:rPr>
              <w:t xml:space="preserve"> Si prevede quindi che l’indicatore </w:t>
            </w:r>
            <w:r w:rsidR="00437D41" w:rsidRPr="00000A45">
              <w:rPr>
                <w:rFonts w:ascii="Fira Sans" w:eastAsia="Century" w:hAnsi="Fira Sans" w:cs="Century"/>
                <w:szCs w:val="20"/>
              </w:rPr>
              <w:t>iC15 e gli altri indicatori ad esso correlati difficilmente potranno migliorare in modo sensibile nei prossimi anni.</w:t>
            </w:r>
            <w:r w:rsidR="009629AD" w:rsidRPr="00000A45">
              <w:rPr>
                <w:rFonts w:ascii="Fira Sans" w:eastAsia="Century" w:hAnsi="Fira Sans" w:cs="Century"/>
                <w:szCs w:val="20"/>
              </w:rPr>
              <w:t xml:space="preserve"> </w:t>
            </w:r>
          </w:p>
          <w:p w14:paraId="2AC79658" w14:textId="77777777" w:rsidR="008856BC" w:rsidRPr="004E2EC9" w:rsidRDefault="008856BC" w:rsidP="008856BC">
            <w:pPr>
              <w:spacing w:line="240" w:lineRule="atLeast"/>
              <w:jc w:val="both"/>
              <w:rPr>
                <w:rFonts w:ascii="Fira Sans" w:eastAsia="Century" w:hAnsi="Fira Sans" w:cs="Century"/>
                <w:szCs w:val="20"/>
              </w:rPr>
            </w:pPr>
            <w:r w:rsidRPr="002438C2">
              <w:rPr>
                <w:rFonts w:ascii="Fira Sans" w:eastAsia="Century" w:hAnsi="Fira Sans" w:cs="Century"/>
                <w:b/>
                <w:bCs/>
                <w:szCs w:val="20"/>
              </w:rPr>
              <w:t>iC15BIS Percentuale di studenti che proseguono al II anno nello stesso Corso di studio avendo acquisito almeno 1/3 dei CFU previsti al I anno</w:t>
            </w:r>
          </w:p>
          <w:p w14:paraId="28C9A7FF" w14:textId="3880BDC5" w:rsidR="002438C2" w:rsidRPr="006A1B65" w:rsidRDefault="008856BC" w:rsidP="006A1B65">
            <w:pPr>
              <w:spacing w:after="120" w:line="240" w:lineRule="atLeast"/>
              <w:ind w:firstLine="284"/>
              <w:jc w:val="both"/>
              <w:rPr>
                <w:rFonts w:ascii="Fira Sans" w:eastAsia="Century" w:hAnsi="Fira Sans" w:cs="Century"/>
                <w:szCs w:val="20"/>
              </w:rPr>
            </w:pPr>
            <w:r w:rsidRPr="006A1B65">
              <w:rPr>
                <w:rFonts w:ascii="Fira Sans" w:eastAsia="Century" w:hAnsi="Fira Sans" w:cs="Century"/>
                <w:szCs w:val="20"/>
              </w:rPr>
              <w:lastRenderedPageBreak/>
              <w:t>Questo indicatore (98,8% nel 2018, 83,1% nel 2019, 95,8% nel 2019</w:t>
            </w:r>
            <w:r w:rsidR="004E2EC9" w:rsidRPr="006A1B65">
              <w:rPr>
                <w:rFonts w:ascii="Fira Sans" w:eastAsia="Century" w:hAnsi="Fira Sans" w:cs="Century"/>
                <w:szCs w:val="20"/>
              </w:rPr>
              <w:t>, 90,1% nel 2020</w:t>
            </w:r>
            <w:r w:rsidRPr="006A1B65">
              <w:rPr>
                <w:rFonts w:ascii="Fira Sans" w:eastAsia="Century" w:hAnsi="Fira Sans" w:cs="Century"/>
                <w:szCs w:val="20"/>
              </w:rPr>
              <w:t>)</w:t>
            </w:r>
            <w:r w:rsidR="004E2EC9" w:rsidRPr="006A1B65">
              <w:rPr>
                <w:rFonts w:ascii="Fira Sans" w:eastAsia="Century" w:hAnsi="Fira Sans" w:cs="Century"/>
                <w:szCs w:val="20"/>
              </w:rPr>
              <w:t xml:space="preserve"> </w:t>
            </w:r>
            <w:r w:rsidRPr="006A1B65">
              <w:rPr>
                <w:rFonts w:ascii="Fira Sans" w:eastAsia="Century" w:hAnsi="Fira Sans" w:cs="Century"/>
                <w:szCs w:val="20"/>
              </w:rPr>
              <w:t>è strettamente correlato all’indicatore iC15 a cui si rinvia</w:t>
            </w:r>
            <w:r w:rsidR="006A1B65" w:rsidRPr="006A1B65">
              <w:rPr>
                <w:rFonts w:ascii="Fira Sans" w:eastAsia="Century" w:hAnsi="Fira Sans" w:cs="Century"/>
                <w:szCs w:val="20"/>
              </w:rPr>
              <w:t>, tenendo però presente</w:t>
            </w:r>
            <w:r w:rsidR="00000A45" w:rsidRPr="006A1B65">
              <w:rPr>
                <w:rFonts w:ascii="Fira Sans" w:eastAsia="Century" w:hAnsi="Fira Sans" w:cs="Century"/>
                <w:szCs w:val="20"/>
              </w:rPr>
              <w:t xml:space="preserve"> che esso appare non facilmente interpretabile in quanto il piano di studi EMMP non prevede un numero assoluto di CFU al primo anno, ma consente a ciascun studente di scegliere come posizionare </w:t>
            </w:r>
            <w:r w:rsidR="006A1B65" w:rsidRPr="006A1B65">
              <w:rPr>
                <w:rFonts w:ascii="Fira Sans" w:eastAsia="Century" w:hAnsi="Fira Sans" w:cs="Century"/>
                <w:szCs w:val="20"/>
              </w:rPr>
              <w:t>15 CFU tra il primo e il secondo anno.</w:t>
            </w:r>
          </w:p>
          <w:p w14:paraId="2B6CC1BE" w14:textId="77777777" w:rsidR="008856BC" w:rsidRPr="004E2EC9" w:rsidRDefault="008856BC" w:rsidP="008856BC">
            <w:pPr>
              <w:spacing w:line="240" w:lineRule="atLeast"/>
              <w:jc w:val="both"/>
              <w:rPr>
                <w:rFonts w:ascii="Fira Sans" w:eastAsia="Century" w:hAnsi="Fira Sans" w:cs="Century"/>
                <w:szCs w:val="20"/>
              </w:rPr>
            </w:pPr>
            <w:r w:rsidRPr="004E2EC9">
              <w:rPr>
                <w:rFonts w:ascii="Fira Sans" w:eastAsia="Century" w:hAnsi="Fira Sans" w:cs="Century"/>
                <w:b/>
                <w:bCs/>
                <w:szCs w:val="20"/>
              </w:rPr>
              <w:t>iC16 Percentuale di studenti che proseguono al II anno nello stesso Corso di studio avendo acquisito almeno 40 CFU al I anno</w:t>
            </w:r>
          </w:p>
          <w:p w14:paraId="2E5DAC91" w14:textId="061FAE28" w:rsidR="001914DF" w:rsidRPr="006A1B65" w:rsidRDefault="006A1B65" w:rsidP="002B2E94">
            <w:pPr>
              <w:spacing w:line="240" w:lineRule="atLeast"/>
              <w:ind w:firstLine="284"/>
              <w:jc w:val="both"/>
              <w:rPr>
                <w:rFonts w:ascii="Fira Sans" w:eastAsia="Century" w:hAnsi="Fira Sans" w:cs="Century"/>
                <w:szCs w:val="20"/>
              </w:rPr>
            </w:pPr>
            <w:r>
              <w:rPr>
                <w:rFonts w:ascii="Fira Sans" w:eastAsia="Century" w:hAnsi="Fira Sans" w:cs="Century"/>
                <w:szCs w:val="20"/>
              </w:rPr>
              <w:t>L’indicatore iC16</w:t>
            </w:r>
            <w:r w:rsidR="008856BC" w:rsidRPr="006A1B65">
              <w:rPr>
                <w:rFonts w:ascii="Fira Sans" w:eastAsia="Century" w:hAnsi="Fira Sans" w:cs="Century"/>
                <w:szCs w:val="20"/>
              </w:rPr>
              <w:t xml:space="preserve"> (73,2% nel 2017, 67,7% nel 2018, 83,1% nel 2019</w:t>
            </w:r>
            <w:r w:rsidR="002B2E94" w:rsidRPr="006A1B65">
              <w:rPr>
                <w:rFonts w:ascii="Fira Sans" w:eastAsia="Century" w:hAnsi="Fira Sans" w:cs="Century"/>
                <w:szCs w:val="20"/>
              </w:rPr>
              <w:t>, 67,9% nel 2020</w:t>
            </w:r>
            <w:r w:rsidR="008856BC" w:rsidRPr="006A1B65">
              <w:rPr>
                <w:rFonts w:ascii="Fira Sans" w:eastAsia="Century" w:hAnsi="Fira Sans" w:cs="Century"/>
                <w:szCs w:val="20"/>
              </w:rPr>
              <w:t>), correlato all’indicatore iC16bis, presenta un andamento oscillante nel tempo</w:t>
            </w:r>
            <w:r w:rsidR="002B2E94" w:rsidRPr="006A1B65">
              <w:rPr>
                <w:rFonts w:ascii="Fira Sans" w:eastAsia="Century" w:hAnsi="Fira Sans" w:cs="Century"/>
                <w:szCs w:val="20"/>
              </w:rPr>
              <w:t>.</w:t>
            </w:r>
            <w:r w:rsidR="008856BC" w:rsidRPr="006A1B65">
              <w:rPr>
                <w:rFonts w:ascii="Fira Sans" w:eastAsia="Century" w:hAnsi="Fira Sans" w:cs="Century"/>
                <w:szCs w:val="20"/>
              </w:rPr>
              <w:t xml:space="preserve"> </w:t>
            </w:r>
            <w:r w:rsidR="002B2E94" w:rsidRPr="006A1B65">
              <w:rPr>
                <w:rFonts w:ascii="Fira Sans" w:eastAsia="Century" w:hAnsi="Fira Sans" w:cs="Century"/>
                <w:szCs w:val="20"/>
              </w:rPr>
              <w:t xml:space="preserve">Al significativo aumento nell’anno 2019 ha fatto seguito nell’ultimo anno di </w:t>
            </w:r>
            <w:r w:rsidR="00437D41" w:rsidRPr="006A1B65">
              <w:rPr>
                <w:rFonts w:ascii="Fira Sans" w:eastAsia="Century" w:hAnsi="Fira Sans" w:cs="Century"/>
                <w:szCs w:val="20"/>
              </w:rPr>
              <w:t>rilevamento</w:t>
            </w:r>
            <w:r w:rsidR="002B2E94" w:rsidRPr="006A1B65">
              <w:rPr>
                <w:rFonts w:ascii="Fira Sans" w:eastAsia="Century" w:hAnsi="Fira Sans" w:cs="Century"/>
                <w:szCs w:val="20"/>
              </w:rPr>
              <w:t xml:space="preserve"> un ritorno al </w:t>
            </w:r>
            <w:r w:rsidR="001914DF" w:rsidRPr="006A1B65">
              <w:rPr>
                <w:rFonts w:ascii="Fira Sans" w:eastAsia="Century" w:hAnsi="Fira Sans" w:cs="Century"/>
                <w:szCs w:val="20"/>
              </w:rPr>
              <w:t xml:space="preserve">più basso </w:t>
            </w:r>
            <w:r w:rsidR="002B2E94" w:rsidRPr="006A1B65">
              <w:rPr>
                <w:rFonts w:ascii="Fira Sans" w:eastAsia="Century" w:hAnsi="Fira Sans" w:cs="Century"/>
                <w:szCs w:val="20"/>
              </w:rPr>
              <w:t>valore dell’anno precedente</w:t>
            </w:r>
            <w:r w:rsidR="00E50D67" w:rsidRPr="006A1B65">
              <w:rPr>
                <w:rFonts w:ascii="Fira Sans" w:eastAsia="Century" w:hAnsi="Fira Sans" w:cs="Century"/>
                <w:szCs w:val="20"/>
              </w:rPr>
              <w:t>, inferiore rispetto alla media dell’Area geografica, ma superiore rispetto a quella dell’Ateneo</w:t>
            </w:r>
            <w:r w:rsidR="00140989" w:rsidRPr="006A1B65">
              <w:rPr>
                <w:rFonts w:ascii="Fira Sans" w:eastAsia="Century" w:hAnsi="Fira Sans" w:cs="Century"/>
                <w:szCs w:val="20"/>
              </w:rPr>
              <w:t>.</w:t>
            </w:r>
            <w:r w:rsidR="001914DF" w:rsidRPr="006A1B65">
              <w:rPr>
                <w:rFonts w:ascii="Fira Sans" w:eastAsia="Century" w:hAnsi="Fira Sans" w:cs="Century"/>
                <w:szCs w:val="20"/>
              </w:rPr>
              <w:t xml:space="preserve"> </w:t>
            </w:r>
          </w:p>
          <w:p w14:paraId="7C8DEAD8" w14:textId="7BD7471D" w:rsidR="008856BC" w:rsidRPr="006A1B65" w:rsidRDefault="001914DF" w:rsidP="00533D6F">
            <w:pPr>
              <w:spacing w:after="120" w:line="240" w:lineRule="atLeast"/>
              <w:ind w:firstLine="284"/>
              <w:jc w:val="both"/>
              <w:rPr>
                <w:rFonts w:ascii="Fira Sans" w:eastAsia="Century" w:hAnsi="Fira Sans" w:cs="Century"/>
                <w:szCs w:val="20"/>
              </w:rPr>
            </w:pPr>
            <w:r w:rsidRPr="006A1B65">
              <w:rPr>
                <w:rFonts w:ascii="Fira Sans" w:eastAsia="Century" w:hAnsi="Fira Sans" w:cs="Century"/>
                <w:szCs w:val="20"/>
              </w:rPr>
              <w:t xml:space="preserve">Anche in questo caso </w:t>
            </w:r>
            <w:r w:rsidR="00E50D67" w:rsidRPr="006A1B65">
              <w:rPr>
                <w:rFonts w:ascii="Fira Sans" w:eastAsia="Century" w:hAnsi="Fira Sans" w:cs="Century"/>
                <w:szCs w:val="20"/>
              </w:rPr>
              <w:t>sembrano valere</w:t>
            </w:r>
            <w:r w:rsidRPr="006A1B65">
              <w:rPr>
                <w:rFonts w:ascii="Fira Sans" w:eastAsia="Century" w:hAnsi="Fira Sans" w:cs="Century"/>
                <w:szCs w:val="20"/>
              </w:rPr>
              <w:t xml:space="preserve"> le osservazioni </w:t>
            </w:r>
            <w:r w:rsidR="00533D6F" w:rsidRPr="006A1B65">
              <w:rPr>
                <w:rFonts w:ascii="Fira Sans" w:eastAsia="Century" w:hAnsi="Fira Sans" w:cs="Century"/>
                <w:szCs w:val="20"/>
              </w:rPr>
              <w:t>svolte</w:t>
            </w:r>
            <w:r w:rsidRPr="006A1B65">
              <w:rPr>
                <w:rFonts w:ascii="Fira Sans" w:eastAsia="Century" w:hAnsi="Fira Sans" w:cs="Century"/>
                <w:szCs w:val="20"/>
              </w:rPr>
              <w:t xml:space="preserve"> in relazione all’indicatore iC15 a cui si rinvia.</w:t>
            </w:r>
          </w:p>
          <w:p w14:paraId="6B774F10" w14:textId="77777777" w:rsidR="008856BC" w:rsidRPr="00DD4BB1" w:rsidRDefault="008856BC" w:rsidP="008856BC">
            <w:pPr>
              <w:spacing w:line="240" w:lineRule="atLeast"/>
              <w:jc w:val="both"/>
              <w:rPr>
                <w:rFonts w:ascii="Fira Sans" w:eastAsia="Century" w:hAnsi="Fira Sans" w:cs="Century"/>
                <w:szCs w:val="20"/>
                <w:u w:val="single"/>
              </w:rPr>
            </w:pPr>
            <w:r w:rsidRPr="00DD4BB1">
              <w:rPr>
                <w:rFonts w:ascii="Fira Sans" w:eastAsia="Century" w:hAnsi="Fira Sans" w:cs="Century"/>
                <w:b/>
                <w:bCs/>
                <w:szCs w:val="20"/>
                <w:u w:val="single"/>
              </w:rPr>
              <w:t>iC16BIS Percentuale di studenti che proseguono al II anno nello stesso Corso di studio avendo acquisito almeno 2/3 dei CFU previsti al I anno</w:t>
            </w:r>
          </w:p>
          <w:p w14:paraId="5B20F68C" w14:textId="3B06CCFF" w:rsidR="008856BC" w:rsidRPr="006A1B65" w:rsidRDefault="008856BC" w:rsidP="008856BC">
            <w:pPr>
              <w:spacing w:after="120" w:line="240" w:lineRule="atLeast"/>
              <w:ind w:firstLine="284"/>
              <w:jc w:val="both"/>
              <w:rPr>
                <w:rFonts w:ascii="Fira Sans" w:eastAsia="Century" w:hAnsi="Fira Sans" w:cs="Century"/>
                <w:szCs w:val="20"/>
              </w:rPr>
            </w:pPr>
            <w:r w:rsidRPr="006A1B65">
              <w:rPr>
                <w:rFonts w:ascii="Fira Sans" w:eastAsia="Century" w:hAnsi="Fira Sans" w:cs="Century"/>
                <w:szCs w:val="20"/>
              </w:rPr>
              <w:t xml:space="preserve">Questo indicatore (70,7% nel 2017, </w:t>
            </w:r>
            <w:r w:rsidR="00140989" w:rsidRPr="006A1B65">
              <w:rPr>
                <w:rFonts w:ascii="Fira Sans" w:eastAsia="Century" w:hAnsi="Fira Sans" w:cs="Century"/>
                <w:szCs w:val="20"/>
              </w:rPr>
              <w:t>69,4</w:t>
            </w:r>
            <w:r w:rsidRPr="006A1B65">
              <w:rPr>
                <w:rFonts w:ascii="Fira Sans" w:eastAsia="Century" w:hAnsi="Fira Sans" w:cs="Century"/>
                <w:szCs w:val="20"/>
              </w:rPr>
              <w:t xml:space="preserve">% nel 2018, </w:t>
            </w:r>
            <w:r w:rsidR="00140989" w:rsidRPr="006A1B65">
              <w:rPr>
                <w:rFonts w:ascii="Fira Sans" w:eastAsia="Century" w:hAnsi="Fira Sans" w:cs="Century"/>
                <w:szCs w:val="20"/>
              </w:rPr>
              <w:t>83,1</w:t>
            </w:r>
            <w:r w:rsidRPr="006A1B65">
              <w:rPr>
                <w:rFonts w:ascii="Fira Sans" w:eastAsia="Century" w:hAnsi="Fira Sans" w:cs="Century"/>
                <w:szCs w:val="20"/>
              </w:rPr>
              <w:t>% nel 2019</w:t>
            </w:r>
            <w:r w:rsidR="00140989" w:rsidRPr="006A1B65">
              <w:rPr>
                <w:rFonts w:ascii="Fira Sans" w:eastAsia="Century" w:hAnsi="Fira Sans" w:cs="Century"/>
                <w:szCs w:val="20"/>
              </w:rPr>
              <w:t>, 66,7% nel 2020</w:t>
            </w:r>
            <w:r w:rsidRPr="006A1B65">
              <w:rPr>
                <w:rFonts w:ascii="Fira Sans" w:eastAsia="Century" w:hAnsi="Fira Sans" w:cs="Century"/>
                <w:szCs w:val="20"/>
              </w:rPr>
              <w:t>)</w:t>
            </w:r>
            <w:r w:rsidR="006A1B65" w:rsidRPr="006A1B65">
              <w:rPr>
                <w:rFonts w:ascii="Fira Sans" w:eastAsia="Century" w:hAnsi="Fira Sans" w:cs="Century"/>
                <w:szCs w:val="20"/>
              </w:rPr>
              <w:t>,</w:t>
            </w:r>
            <w:r w:rsidRPr="006A1B65">
              <w:rPr>
                <w:rFonts w:ascii="Fira Sans" w:eastAsia="Century" w:hAnsi="Fira Sans" w:cs="Century"/>
                <w:szCs w:val="20"/>
              </w:rPr>
              <w:t xml:space="preserve"> riferito alla percentuale di studenti che proseguono al II anno nello stesso corso di studio avendo acquisito almeno 2/3 dei CFU previsti al I anno</w:t>
            </w:r>
            <w:r w:rsidR="006A1B65" w:rsidRPr="006A1B65">
              <w:rPr>
                <w:rFonts w:ascii="Fira Sans" w:eastAsia="Century" w:hAnsi="Fira Sans" w:cs="Century"/>
                <w:szCs w:val="20"/>
              </w:rPr>
              <w:t>,</w:t>
            </w:r>
            <w:r w:rsidRPr="006A1B65">
              <w:rPr>
                <w:rFonts w:ascii="Fira Sans" w:eastAsia="Century" w:hAnsi="Fira Sans" w:cs="Century"/>
                <w:szCs w:val="20"/>
              </w:rPr>
              <w:t xml:space="preserve"> presenta un andamento in linea con il correlato indicatore iC16 relativo alla percentuale di studenti che proseguono al II anno nello stesso corso di studio avendo acquisito almeno 40 CFU al I anno per cui si rinvia a quanto sopra osservato.</w:t>
            </w:r>
          </w:p>
          <w:p w14:paraId="1A9F3BB1" w14:textId="77777777" w:rsidR="008856BC" w:rsidRPr="00DD4BB1" w:rsidRDefault="008856BC" w:rsidP="008856BC">
            <w:pPr>
              <w:spacing w:line="240" w:lineRule="atLeast"/>
              <w:jc w:val="both"/>
              <w:rPr>
                <w:rFonts w:ascii="Fira Sans" w:eastAsia="Century" w:hAnsi="Fira Sans" w:cs="Century"/>
                <w:szCs w:val="20"/>
                <w:u w:val="single"/>
              </w:rPr>
            </w:pPr>
            <w:r w:rsidRPr="00DD4BB1">
              <w:rPr>
                <w:rFonts w:ascii="Fira Sans" w:eastAsia="Century" w:hAnsi="Fira Sans" w:cs="Century"/>
                <w:b/>
                <w:bCs/>
                <w:szCs w:val="20"/>
                <w:u w:val="single"/>
              </w:rPr>
              <w:t>iC17 Percentuale di immatricolati che si laureano entro un anno oltre la durata normale del Corso nello stesso Corso di studio</w:t>
            </w:r>
          </w:p>
          <w:p w14:paraId="38BAFBD4" w14:textId="47A92C42" w:rsidR="009E53DC" w:rsidRPr="00C27AC0" w:rsidRDefault="00DB7384" w:rsidP="008856BC">
            <w:pPr>
              <w:spacing w:line="240" w:lineRule="atLeast"/>
              <w:ind w:firstLine="284"/>
              <w:jc w:val="both"/>
              <w:rPr>
                <w:rFonts w:ascii="Fira Sans" w:eastAsia="Century" w:hAnsi="Fira Sans" w:cs="Century"/>
                <w:szCs w:val="20"/>
              </w:rPr>
            </w:pPr>
            <w:r w:rsidRPr="00C27AC0">
              <w:rPr>
                <w:rFonts w:ascii="Fira Sans" w:eastAsia="Century" w:hAnsi="Fira Sans" w:cs="Century"/>
                <w:szCs w:val="20"/>
              </w:rPr>
              <w:t>L’indicatore iC17,</w:t>
            </w:r>
            <w:r w:rsidR="008856BC" w:rsidRPr="00C27AC0">
              <w:rPr>
                <w:rFonts w:ascii="Fira Sans" w:eastAsia="Century" w:hAnsi="Fira Sans" w:cs="Century"/>
                <w:szCs w:val="20"/>
              </w:rPr>
              <w:t xml:space="preserve"> relativo alla percentuale di immatricolati che si laureano entro un anno oltre la durata normale del Corso nello stesso Corso di studio</w:t>
            </w:r>
            <w:r w:rsidR="00BC49D2" w:rsidRPr="00C27AC0">
              <w:rPr>
                <w:rFonts w:ascii="Fira Sans" w:eastAsia="Century" w:hAnsi="Fira Sans" w:cs="Century"/>
                <w:szCs w:val="20"/>
              </w:rPr>
              <w:t xml:space="preserve"> (</w:t>
            </w:r>
            <w:r w:rsidR="009E53DC" w:rsidRPr="00C27AC0">
              <w:rPr>
                <w:rFonts w:ascii="Fira Sans" w:eastAsia="Century" w:hAnsi="Fira Sans" w:cs="Century"/>
                <w:szCs w:val="20"/>
              </w:rPr>
              <w:t xml:space="preserve">85,7% nel 2017, </w:t>
            </w:r>
            <w:r w:rsidR="00BC49D2" w:rsidRPr="00C27AC0">
              <w:rPr>
                <w:rFonts w:ascii="Fira Sans" w:eastAsia="Century" w:hAnsi="Fira Sans" w:cs="Century"/>
                <w:szCs w:val="20"/>
              </w:rPr>
              <w:t>88,9% nel 2018, 82,9% nel 2019 e 75,8% nel 2020)</w:t>
            </w:r>
            <w:r w:rsidRPr="00C27AC0">
              <w:rPr>
                <w:rFonts w:ascii="Fira Sans" w:eastAsia="Century" w:hAnsi="Fira Sans" w:cs="Century"/>
                <w:szCs w:val="20"/>
              </w:rPr>
              <w:t>,</w:t>
            </w:r>
            <w:r w:rsidR="00BC49D2" w:rsidRPr="00C27AC0">
              <w:rPr>
                <w:rFonts w:ascii="Fira Sans" w:eastAsia="Century" w:hAnsi="Fira Sans" w:cs="Century"/>
                <w:szCs w:val="20"/>
              </w:rPr>
              <w:t xml:space="preserve"> </w:t>
            </w:r>
            <w:r w:rsidR="009E53DC" w:rsidRPr="00C27AC0">
              <w:rPr>
                <w:rFonts w:ascii="Fira Sans" w:eastAsia="Century" w:hAnsi="Fira Sans" w:cs="Century"/>
                <w:szCs w:val="20"/>
              </w:rPr>
              <w:t xml:space="preserve">negli ultimi tre anni </w:t>
            </w:r>
            <w:r w:rsidR="008856BC" w:rsidRPr="00C27AC0">
              <w:rPr>
                <w:rFonts w:ascii="Fira Sans" w:eastAsia="Century" w:hAnsi="Fira Sans" w:cs="Century"/>
                <w:szCs w:val="20"/>
              </w:rPr>
              <w:t xml:space="preserve">si </w:t>
            </w:r>
            <w:r w:rsidR="009E53DC" w:rsidRPr="00C27AC0">
              <w:rPr>
                <w:rFonts w:ascii="Fira Sans" w:eastAsia="Century" w:hAnsi="Fira Sans" w:cs="Century"/>
                <w:szCs w:val="20"/>
              </w:rPr>
              <w:t xml:space="preserve">è </w:t>
            </w:r>
            <w:r w:rsidR="008856BC" w:rsidRPr="00C27AC0">
              <w:rPr>
                <w:rFonts w:ascii="Fira Sans" w:eastAsia="Century" w:hAnsi="Fira Sans" w:cs="Century"/>
                <w:szCs w:val="20"/>
              </w:rPr>
              <w:t>caratterizza</w:t>
            </w:r>
            <w:r w:rsidR="009E53DC" w:rsidRPr="00C27AC0">
              <w:rPr>
                <w:rFonts w:ascii="Fira Sans" w:eastAsia="Century" w:hAnsi="Fira Sans" w:cs="Century"/>
                <w:szCs w:val="20"/>
              </w:rPr>
              <w:t>to</w:t>
            </w:r>
            <w:r w:rsidR="008856BC" w:rsidRPr="00C27AC0">
              <w:rPr>
                <w:rFonts w:ascii="Fira Sans" w:eastAsia="Century" w:hAnsi="Fira Sans" w:cs="Century"/>
                <w:szCs w:val="20"/>
              </w:rPr>
              <w:t xml:space="preserve"> </w:t>
            </w:r>
            <w:r w:rsidR="00BC49D2" w:rsidRPr="00C27AC0">
              <w:rPr>
                <w:rFonts w:ascii="Fira Sans" w:eastAsia="Century" w:hAnsi="Fira Sans" w:cs="Century"/>
                <w:szCs w:val="20"/>
              </w:rPr>
              <w:t>per una costante diminuzione</w:t>
            </w:r>
            <w:r w:rsidR="009E53DC" w:rsidRPr="00C27AC0">
              <w:rPr>
                <w:rFonts w:ascii="Fira Sans" w:eastAsia="Century" w:hAnsi="Fira Sans" w:cs="Century"/>
                <w:szCs w:val="20"/>
              </w:rPr>
              <w:t>. Nel 2020 la percentuale risulta essere superiore al dato di Ateneo e inferiore a quello dell’Area geografica.</w:t>
            </w:r>
          </w:p>
          <w:p w14:paraId="4013C86D" w14:textId="70D1504B" w:rsidR="009C4968" w:rsidRDefault="00C27AC0" w:rsidP="00DD4BB1">
            <w:pPr>
              <w:spacing w:after="120" w:line="240" w:lineRule="atLeast"/>
              <w:ind w:firstLine="284"/>
              <w:jc w:val="both"/>
              <w:rPr>
                <w:rFonts w:ascii="Fira Sans" w:eastAsia="Century" w:hAnsi="Fira Sans" w:cs="Century"/>
                <w:szCs w:val="20"/>
              </w:rPr>
            </w:pPr>
            <w:r w:rsidRPr="00C27AC0">
              <w:rPr>
                <w:rFonts w:ascii="Fira Sans" w:eastAsia="Century" w:hAnsi="Fira Sans" w:cs="Century"/>
                <w:szCs w:val="20"/>
              </w:rPr>
              <w:t>Considerate le percentuali ancora elevate l</w:t>
            </w:r>
            <w:r w:rsidR="009C4968" w:rsidRPr="00C27AC0">
              <w:rPr>
                <w:rFonts w:ascii="Fira Sans" w:eastAsia="Century" w:hAnsi="Fira Sans" w:cs="Century"/>
                <w:szCs w:val="20"/>
              </w:rPr>
              <w:t xml:space="preserve">’indicatore </w:t>
            </w:r>
            <w:r w:rsidRPr="00C27AC0">
              <w:rPr>
                <w:rFonts w:ascii="Fira Sans" w:eastAsia="Century" w:hAnsi="Fira Sans" w:cs="Century"/>
                <w:szCs w:val="20"/>
              </w:rPr>
              <w:t xml:space="preserve">al momento </w:t>
            </w:r>
            <w:r w:rsidR="009C4968" w:rsidRPr="00C27AC0">
              <w:rPr>
                <w:rFonts w:ascii="Fira Sans" w:eastAsia="Century" w:hAnsi="Fira Sans" w:cs="Century"/>
                <w:szCs w:val="20"/>
              </w:rPr>
              <w:t xml:space="preserve">non appare critico. </w:t>
            </w:r>
            <w:r w:rsidRPr="00C27AC0">
              <w:rPr>
                <w:rFonts w:ascii="Fira Sans" w:eastAsia="Century" w:hAnsi="Fira Sans" w:cs="Century"/>
                <w:szCs w:val="20"/>
              </w:rPr>
              <w:t>I</w:t>
            </w:r>
            <w:r w:rsidR="009C4968" w:rsidRPr="00C27AC0">
              <w:rPr>
                <w:rFonts w:ascii="Fira Sans" w:eastAsia="Century" w:hAnsi="Fira Sans" w:cs="Century"/>
                <w:szCs w:val="20"/>
              </w:rPr>
              <w:t xml:space="preserve">l CCS si riserva di continuare a monitorarne </w:t>
            </w:r>
            <w:r w:rsidRPr="00C27AC0">
              <w:rPr>
                <w:rFonts w:ascii="Fira Sans" w:eastAsia="Century" w:hAnsi="Fira Sans" w:cs="Century"/>
                <w:szCs w:val="20"/>
              </w:rPr>
              <w:t xml:space="preserve">con particolare attenzione </w:t>
            </w:r>
            <w:r w:rsidR="009C4968" w:rsidRPr="00C27AC0">
              <w:rPr>
                <w:rFonts w:ascii="Fira Sans" w:eastAsia="Century" w:hAnsi="Fira Sans" w:cs="Century"/>
                <w:szCs w:val="20"/>
              </w:rPr>
              <w:t>l’andamento nei prossimi anni.</w:t>
            </w:r>
          </w:p>
          <w:p w14:paraId="29023B78" w14:textId="10BE686C" w:rsidR="00D97375" w:rsidRPr="00403752" w:rsidRDefault="00D97375" w:rsidP="00403752">
            <w:pPr>
              <w:autoSpaceDE w:val="0"/>
              <w:autoSpaceDN w:val="0"/>
              <w:adjustRightInd w:val="0"/>
              <w:jc w:val="both"/>
              <w:rPr>
                <w:rFonts w:ascii="Fira Sans" w:eastAsiaTheme="minorHAnsi" w:hAnsi="Fira Sans" w:cs="FiraSans,Italic"/>
                <w:b/>
                <w:bCs/>
                <w:szCs w:val="20"/>
                <w:u w:val="single"/>
                <w:lang w:eastAsia="en-US"/>
              </w:rPr>
            </w:pPr>
            <w:r w:rsidRPr="00647905">
              <w:rPr>
                <w:rFonts w:ascii="Fira Sans" w:eastAsiaTheme="minorHAnsi" w:hAnsi="Fira Sans" w:cs="FiraSans,Italic"/>
                <w:b/>
                <w:bCs/>
                <w:szCs w:val="20"/>
                <w:u w:val="single"/>
                <w:lang w:eastAsia="en-US"/>
              </w:rPr>
              <w:t>iC19 Percentuale di ore di docenza erogata da docenti assunti a tempo indeterminato sul totale delle ore di docenza erogata</w:t>
            </w:r>
          </w:p>
          <w:p w14:paraId="0CE685CF" w14:textId="5BC0ADA7" w:rsidR="00D97375" w:rsidRPr="007D491F" w:rsidRDefault="00D97375" w:rsidP="007D491F">
            <w:pPr>
              <w:spacing w:line="240" w:lineRule="atLeast"/>
              <w:ind w:firstLine="284"/>
              <w:jc w:val="both"/>
              <w:rPr>
                <w:rFonts w:ascii="Fira Sans" w:eastAsia="Century" w:hAnsi="Fira Sans" w:cs="Century"/>
                <w:szCs w:val="20"/>
              </w:rPr>
            </w:pPr>
            <w:r w:rsidRPr="007D491F">
              <w:rPr>
                <w:rFonts w:ascii="Fira Sans" w:eastAsia="Century" w:hAnsi="Fira Sans" w:cs="Century"/>
                <w:szCs w:val="20"/>
              </w:rPr>
              <w:t xml:space="preserve">L’indicatore, che si colloca sempre su percentuali leggermente inferiori rispetto a quelle di Ateneo, presenta un andamento oscillante nel corso degli anni </w:t>
            </w:r>
            <w:r w:rsidR="00C606C9" w:rsidRPr="007D491F">
              <w:rPr>
                <w:rFonts w:ascii="Fira Sans" w:eastAsia="Century" w:hAnsi="Fira Sans" w:cs="Century"/>
                <w:szCs w:val="20"/>
              </w:rPr>
              <w:t>(</w:t>
            </w:r>
            <w:r w:rsidR="00C606C9" w:rsidRPr="007D491F">
              <w:rPr>
                <w:rFonts w:ascii="Fira Sans" w:eastAsiaTheme="minorHAnsi" w:hAnsi="Fira Sans" w:cs="TimesNewRomanPS-BoldMT"/>
                <w:szCs w:val="20"/>
                <w:lang w:eastAsia="en-US"/>
              </w:rPr>
              <w:t xml:space="preserve">64,1% nel 2017, 68,3% nel 2018, 70,0% nel 2019, 57,5% nel 2020, 69,6% nel 2021) </w:t>
            </w:r>
            <w:r w:rsidR="00C606C9" w:rsidRPr="007D491F">
              <w:rPr>
                <w:rFonts w:ascii="Fira Sans" w:eastAsia="Century" w:hAnsi="Fira Sans" w:cs="Century"/>
                <w:szCs w:val="20"/>
              </w:rPr>
              <w:t>risentendo di minime variazioni nella composizione del corpo docente (nuove assunzioni, avanzamenti di carriera, pensionamenti, ecc</w:t>
            </w:r>
            <w:r w:rsidRPr="007D491F">
              <w:rPr>
                <w:rFonts w:ascii="Fira Sans" w:eastAsia="Century" w:hAnsi="Fira Sans" w:cs="Century"/>
                <w:szCs w:val="20"/>
              </w:rPr>
              <w:t>.</w:t>
            </w:r>
            <w:r w:rsidR="00C606C9" w:rsidRPr="007D491F">
              <w:rPr>
                <w:rFonts w:ascii="Fira Sans" w:eastAsia="Century" w:hAnsi="Fira Sans" w:cs="Century"/>
                <w:szCs w:val="20"/>
              </w:rPr>
              <w:t>)</w:t>
            </w:r>
            <w:r w:rsidR="00D55426">
              <w:rPr>
                <w:rFonts w:ascii="Fira Sans" w:eastAsia="Century" w:hAnsi="Fira Sans" w:cs="Century"/>
                <w:szCs w:val="20"/>
              </w:rPr>
              <w:t>.</w:t>
            </w:r>
            <w:r w:rsidRPr="007D491F">
              <w:rPr>
                <w:rFonts w:ascii="Fira Sans" w:eastAsia="Century" w:hAnsi="Fira Sans" w:cs="Century"/>
                <w:szCs w:val="20"/>
              </w:rPr>
              <w:t xml:space="preserve"> </w:t>
            </w:r>
            <w:r w:rsidR="00C606C9" w:rsidRPr="007D491F">
              <w:rPr>
                <w:rFonts w:ascii="Fira Sans" w:eastAsia="Century" w:hAnsi="Fira Sans" w:cs="Century"/>
                <w:szCs w:val="20"/>
              </w:rPr>
              <w:t xml:space="preserve">La circostanza che </w:t>
            </w:r>
            <w:r w:rsidRPr="007D491F">
              <w:rPr>
                <w:rFonts w:ascii="Fira Sans" w:eastAsia="Century" w:hAnsi="Fira Sans" w:cs="Century"/>
                <w:szCs w:val="20"/>
              </w:rPr>
              <w:t xml:space="preserve">l’indicatore </w:t>
            </w:r>
            <w:r w:rsidR="00C606C9" w:rsidRPr="007D491F">
              <w:rPr>
                <w:rFonts w:ascii="Fira Sans" w:eastAsia="Century" w:hAnsi="Fira Sans" w:cs="Century"/>
                <w:szCs w:val="20"/>
              </w:rPr>
              <w:t xml:space="preserve">si posizioni </w:t>
            </w:r>
            <w:r w:rsidRPr="007D491F">
              <w:rPr>
                <w:rFonts w:ascii="Fira Sans" w:eastAsia="Century" w:hAnsi="Fira Sans" w:cs="Century"/>
                <w:szCs w:val="20"/>
              </w:rPr>
              <w:t xml:space="preserve">intorno al 70% viene </w:t>
            </w:r>
            <w:r w:rsidR="00C606C9" w:rsidRPr="007D491F">
              <w:rPr>
                <w:rFonts w:ascii="Fira Sans" w:eastAsia="Century" w:hAnsi="Fira Sans" w:cs="Century"/>
                <w:szCs w:val="20"/>
              </w:rPr>
              <w:t>valutata positivamente</w:t>
            </w:r>
            <w:r w:rsidRPr="007D491F">
              <w:rPr>
                <w:rFonts w:ascii="Fira Sans" w:eastAsia="Century" w:hAnsi="Fira Sans" w:cs="Century"/>
                <w:szCs w:val="20"/>
              </w:rPr>
              <w:t xml:space="preserve"> dal CCS EMMP</w:t>
            </w:r>
            <w:r w:rsidR="007D491F" w:rsidRPr="007D491F">
              <w:rPr>
                <w:rFonts w:ascii="Fira Sans" w:eastAsia="Century" w:hAnsi="Fira Sans" w:cs="Century"/>
                <w:szCs w:val="20"/>
              </w:rPr>
              <w:t>,</w:t>
            </w:r>
            <w:r w:rsidRPr="007D491F">
              <w:rPr>
                <w:rFonts w:ascii="Fira Sans" w:eastAsia="Century" w:hAnsi="Fira Sans" w:cs="Century"/>
                <w:szCs w:val="20"/>
              </w:rPr>
              <w:t xml:space="preserve"> </w:t>
            </w:r>
            <w:r w:rsidR="00C606C9" w:rsidRPr="007D491F">
              <w:rPr>
                <w:rFonts w:ascii="Fira Sans" w:eastAsia="Century" w:hAnsi="Fira Sans" w:cs="Century"/>
                <w:szCs w:val="20"/>
              </w:rPr>
              <w:t>rappresentando</w:t>
            </w:r>
            <w:r w:rsidRPr="007D491F">
              <w:rPr>
                <w:rFonts w:ascii="Fira Sans" w:eastAsia="Century" w:hAnsi="Fira Sans" w:cs="Century"/>
                <w:szCs w:val="20"/>
              </w:rPr>
              <w:t xml:space="preserve"> un giusto punto di equilibrio </w:t>
            </w:r>
            <w:r w:rsidR="00C606C9" w:rsidRPr="007D491F">
              <w:rPr>
                <w:rFonts w:ascii="Fira Sans" w:eastAsia="Century" w:hAnsi="Fira Sans" w:cs="Century"/>
                <w:szCs w:val="20"/>
              </w:rPr>
              <w:t xml:space="preserve">rispetto alla necessità di </w:t>
            </w:r>
            <w:r w:rsidR="007D491F" w:rsidRPr="007D491F">
              <w:rPr>
                <w:rFonts w:ascii="Fira Sans" w:eastAsia="Century" w:hAnsi="Fira Sans" w:cs="Century"/>
                <w:szCs w:val="20"/>
              </w:rPr>
              <w:t>affiancare</w:t>
            </w:r>
            <w:r w:rsidR="00C606C9" w:rsidRPr="007D491F">
              <w:rPr>
                <w:rFonts w:ascii="Fira Sans" w:eastAsia="Century" w:hAnsi="Fira Sans" w:cs="Century"/>
                <w:szCs w:val="20"/>
              </w:rPr>
              <w:t xml:space="preserve"> </w:t>
            </w:r>
            <w:r w:rsidR="007D491F" w:rsidRPr="007D491F">
              <w:rPr>
                <w:rFonts w:ascii="Fira Sans" w:eastAsia="Century" w:hAnsi="Fira Sans" w:cs="Century"/>
                <w:szCs w:val="20"/>
              </w:rPr>
              <w:t xml:space="preserve">a </w:t>
            </w:r>
            <w:r w:rsidR="00C606C9" w:rsidRPr="007D491F">
              <w:rPr>
                <w:rFonts w:ascii="Fira Sans" w:eastAsia="Century" w:hAnsi="Fira Sans" w:cs="Century"/>
                <w:szCs w:val="20"/>
              </w:rPr>
              <w:t>una didattica prevalentemente, ma non esclusi</w:t>
            </w:r>
            <w:r w:rsidR="00D55426">
              <w:rPr>
                <w:rFonts w:ascii="Fira Sans" w:eastAsia="Century" w:hAnsi="Fira Sans" w:cs="Century"/>
                <w:szCs w:val="20"/>
              </w:rPr>
              <w:softHyphen/>
            </w:r>
            <w:r w:rsidR="00C606C9" w:rsidRPr="007D491F">
              <w:rPr>
                <w:rFonts w:ascii="Fira Sans" w:eastAsia="Century" w:hAnsi="Fira Sans" w:cs="Century"/>
                <w:szCs w:val="20"/>
              </w:rPr>
              <w:t xml:space="preserve">vamente, </w:t>
            </w:r>
            <w:r w:rsidR="007D491F" w:rsidRPr="007D491F">
              <w:rPr>
                <w:rFonts w:ascii="Fira Sans" w:eastAsia="Century" w:hAnsi="Fira Sans" w:cs="Century"/>
                <w:szCs w:val="20"/>
              </w:rPr>
              <w:t xml:space="preserve">svolta da docenti altamente qualificati (vedasi iC08), l’esperienza di </w:t>
            </w:r>
            <w:r w:rsidR="007D491F" w:rsidRPr="007D491F">
              <w:rPr>
                <w:rFonts w:ascii="Fira Sans" w:hAnsi="Fira Sans"/>
                <w:szCs w:val="20"/>
              </w:rPr>
              <w:t xml:space="preserve">esperti del mondo dello </w:t>
            </w:r>
            <w:r w:rsidR="007D491F" w:rsidRPr="007D491F">
              <w:rPr>
                <w:rFonts w:ascii="Fira Sans" w:hAnsi="Fira Sans"/>
                <w:i/>
                <w:iCs/>
                <w:szCs w:val="20"/>
              </w:rPr>
              <w:t xml:space="preserve">shipping </w:t>
            </w:r>
            <w:r w:rsidR="007D491F" w:rsidRPr="007D491F">
              <w:rPr>
                <w:rFonts w:ascii="Fira Sans" w:hAnsi="Fira Sans"/>
                <w:szCs w:val="20"/>
              </w:rPr>
              <w:t xml:space="preserve">a cui </w:t>
            </w:r>
            <w:r w:rsidR="00D55426">
              <w:rPr>
                <w:rFonts w:ascii="Fira Sans" w:hAnsi="Fira Sans"/>
                <w:szCs w:val="20"/>
              </w:rPr>
              <w:t xml:space="preserve">ogni anno accademico </w:t>
            </w:r>
            <w:r w:rsidR="007D491F" w:rsidRPr="007D491F">
              <w:rPr>
                <w:rFonts w:ascii="Fira Sans" w:hAnsi="Fira Sans"/>
                <w:szCs w:val="20"/>
              </w:rPr>
              <w:t xml:space="preserve">vengono </w:t>
            </w:r>
            <w:r w:rsidR="00647905" w:rsidRPr="007D491F">
              <w:rPr>
                <w:rFonts w:ascii="Fira Sans" w:hAnsi="Fira Sans"/>
                <w:szCs w:val="20"/>
              </w:rPr>
              <w:t>affidat</w:t>
            </w:r>
            <w:r w:rsidR="00647905">
              <w:rPr>
                <w:rFonts w:ascii="Fira Sans" w:hAnsi="Fira Sans"/>
                <w:szCs w:val="20"/>
              </w:rPr>
              <w:t>e</w:t>
            </w:r>
            <w:r w:rsidR="00647905" w:rsidRPr="007D491F">
              <w:rPr>
                <w:rFonts w:ascii="Fira Sans" w:hAnsi="Fira Sans"/>
                <w:szCs w:val="20"/>
              </w:rPr>
              <w:t xml:space="preserve"> </w:t>
            </w:r>
            <w:r w:rsidR="007D491F" w:rsidRPr="007D491F">
              <w:rPr>
                <w:rFonts w:ascii="Fira Sans" w:hAnsi="Fira Sans"/>
                <w:szCs w:val="20"/>
              </w:rPr>
              <w:t xml:space="preserve">a contratto </w:t>
            </w:r>
            <w:r w:rsidR="00647905">
              <w:rPr>
                <w:rFonts w:ascii="Fira Sans" w:hAnsi="Fira Sans"/>
                <w:szCs w:val="20"/>
              </w:rPr>
              <w:t xml:space="preserve">ore di docenza relative </w:t>
            </w:r>
            <w:proofErr w:type="spellStart"/>
            <w:r w:rsidR="00647905">
              <w:rPr>
                <w:rFonts w:ascii="Fira Sans" w:hAnsi="Fira Sans"/>
                <w:szCs w:val="20"/>
              </w:rPr>
              <w:t>ad</w:t>
            </w:r>
            <w:r w:rsidR="007D491F" w:rsidRPr="007D491F">
              <w:rPr>
                <w:rFonts w:ascii="Fira Sans" w:hAnsi="Fira Sans"/>
                <w:szCs w:val="20"/>
              </w:rPr>
              <w:t>attività</w:t>
            </w:r>
            <w:proofErr w:type="spellEnd"/>
            <w:r w:rsidR="007D491F" w:rsidRPr="007D491F">
              <w:rPr>
                <w:rFonts w:ascii="Fira Sans" w:hAnsi="Fira Sans"/>
                <w:szCs w:val="20"/>
              </w:rPr>
              <w:t xml:space="preserve"> </w:t>
            </w:r>
            <w:r w:rsidR="00647905">
              <w:rPr>
                <w:rFonts w:ascii="Fira Sans" w:hAnsi="Fira Sans"/>
                <w:szCs w:val="20"/>
              </w:rPr>
              <w:t>didattiche</w:t>
            </w:r>
            <w:r w:rsidR="00647905" w:rsidRPr="007D491F">
              <w:rPr>
                <w:rFonts w:ascii="Fira Sans" w:hAnsi="Fira Sans"/>
                <w:szCs w:val="20"/>
              </w:rPr>
              <w:t xml:space="preserve"> </w:t>
            </w:r>
            <w:r w:rsidR="007D491F" w:rsidRPr="007D491F">
              <w:rPr>
                <w:rFonts w:ascii="Fira Sans" w:hAnsi="Fira Sans"/>
                <w:szCs w:val="20"/>
              </w:rPr>
              <w:t>più strettamente professio</w:t>
            </w:r>
            <w:r w:rsidR="00D55426">
              <w:rPr>
                <w:rFonts w:ascii="Fira Sans" w:hAnsi="Fira Sans"/>
                <w:szCs w:val="20"/>
              </w:rPr>
              <w:softHyphen/>
            </w:r>
            <w:r w:rsidR="007D491F" w:rsidRPr="007D491F">
              <w:rPr>
                <w:rFonts w:ascii="Fira Sans" w:hAnsi="Fira Sans"/>
                <w:szCs w:val="20"/>
              </w:rPr>
              <w:t>nalizzanti.</w:t>
            </w:r>
          </w:p>
          <w:p w14:paraId="7CF7AC1C" w14:textId="77777777" w:rsidR="008856BC" w:rsidRPr="00E51AFD" w:rsidRDefault="008856BC" w:rsidP="008856BC">
            <w:pPr>
              <w:spacing w:line="240" w:lineRule="atLeast"/>
              <w:jc w:val="both"/>
              <w:rPr>
                <w:rFonts w:ascii="Fira Sans" w:eastAsia="Century" w:hAnsi="Fira Sans" w:cs="Century"/>
                <w:b/>
                <w:bCs/>
                <w:color w:val="0000FF"/>
                <w:szCs w:val="20"/>
              </w:rPr>
            </w:pPr>
          </w:p>
          <w:p w14:paraId="4492B591" w14:textId="77777777" w:rsidR="008856BC" w:rsidRPr="004A45AD" w:rsidRDefault="008856BC" w:rsidP="008856BC">
            <w:pPr>
              <w:spacing w:after="120" w:line="240" w:lineRule="atLeast"/>
              <w:jc w:val="both"/>
              <w:rPr>
                <w:rFonts w:ascii="Fira Sans" w:eastAsia="Century" w:hAnsi="Fira Sans" w:cs="Century"/>
                <w:szCs w:val="20"/>
              </w:rPr>
            </w:pPr>
            <w:r w:rsidRPr="004A45AD">
              <w:rPr>
                <w:rFonts w:ascii="Fira Sans" w:eastAsia="Century" w:hAnsi="Fira Sans" w:cs="Century"/>
                <w:b/>
                <w:bCs/>
                <w:szCs w:val="20"/>
              </w:rPr>
              <w:t>INDICATORI DI APPROFONDIMENTO PER LA SPERIMENTAZIONE</w:t>
            </w:r>
          </w:p>
          <w:p w14:paraId="4B4C5E35" w14:textId="77777777" w:rsidR="008856BC" w:rsidRPr="004A45AD" w:rsidRDefault="008856BC" w:rsidP="008856BC">
            <w:pPr>
              <w:spacing w:after="120" w:line="240" w:lineRule="atLeast"/>
              <w:jc w:val="both"/>
              <w:rPr>
                <w:rFonts w:ascii="Fira Sans" w:eastAsia="Century" w:hAnsi="Fira Sans" w:cs="Century"/>
                <w:szCs w:val="20"/>
              </w:rPr>
            </w:pPr>
            <w:r w:rsidRPr="004A45AD">
              <w:rPr>
                <w:rFonts w:ascii="Fira Sans" w:eastAsia="Century" w:hAnsi="Fira Sans" w:cs="Century"/>
                <w:b/>
                <w:bCs/>
                <w:smallCaps/>
                <w:szCs w:val="20"/>
              </w:rPr>
              <w:t>Percorso di studio e regolarità delle carriere</w:t>
            </w:r>
          </w:p>
          <w:p w14:paraId="4BC6EB9F" w14:textId="77777777" w:rsidR="008856BC" w:rsidRPr="0006194C" w:rsidRDefault="008856BC" w:rsidP="008856BC">
            <w:pPr>
              <w:spacing w:line="240" w:lineRule="atLeast"/>
              <w:jc w:val="both"/>
              <w:rPr>
                <w:rFonts w:ascii="Fira Sans" w:eastAsia="Century" w:hAnsi="Fira Sans" w:cs="Century"/>
                <w:szCs w:val="20"/>
              </w:rPr>
            </w:pPr>
            <w:r w:rsidRPr="0006194C">
              <w:rPr>
                <w:rFonts w:ascii="Fira Sans" w:eastAsia="Century" w:hAnsi="Fira Sans" w:cs="Century"/>
                <w:b/>
                <w:bCs/>
                <w:szCs w:val="20"/>
              </w:rPr>
              <w:t>iC21 Percentuale di studenti che proseguono la carriera nel sistema universitario al II anno</w:t>
            </w:r>
          </w:p>
          <w:p w14:paraId="294A20D5" w14:textId="2795DB70" w:rsidR="008856BC" w:rsidRPr="00C27AC0" w:rsidRDefault="008856BC" w:rsidP="008856BC">
            <w:pPr>
              <w:spacing w:after="120" w:line="240" w:lineRule="atLeast"/>
              <w:ind w:firstLine="284"/>
              <w:jc w:val="both"/>
              <w:rPr>
                <w:rFonts w:ascii="Fira Sans" w:eastAsia="Century" w:hAnsi="Fira Sans" w:cs="Century"/>
                <w:szCs w:val="20"/>
              </w:rPr>
            </w:pPr>
            <w:r w:rsidRPr="00C27AC0">
              <w:rPr>
                <w:rFonts w:ascii="Fira Sans" w:eastAsia="Century" w:hAnsi="Fira Sans" w:cs="Century"/>
                <w:szCs w:val="20"/>
              </w:rPr>
              <w:t xml:space="preserve">Nei </w:t>
            </w:r>
            <w:r w:rsidR="004A45AD" w:rsidRPr="00C27AC0">
              <w:rPr>
                <w:rFonts w:ascii="Fira Sans" w:eastAsia="Century" w:hAnsi="Fira Sans" w:cs="Century"/>
                <w:szCs w:val="20"/>
              </w:rPr>
              <w:t xml:space="preserve">primi </w:t>
            </w:r>
            <w:r w:rsidRPr="00C27AC0">
              <w:rPr>
                <w:rFonts w:ascii="Fira Sans" w:eastAsia="Century" w:hAnsi="Fira Sans" w:cs="Century"/>
                <w:szCs w:val="20"/>
              </w:rPr>
              <w:t>quattro anni di riferimento (dal 2016 al 2019) la percentuale di studenti che proseguono la carriera nel sistema universitario al II anno è sempre pari al 100%</w:t>
            </w:r>
            <w:r w:rsidR="004A45AD" w:rsidRPr="00C27AC0">
              <w:rPr>
                <w:rFonts w:ascii="Fira Sans" w:eastAsia="Century" w:hAnsi="Fira Sans" w:cs="Century"/>
                <w:szCs w:val="20"/>
              </w:rPr>
              <w:t>, mentre nel 2020 è scesa al 95,1%</w:t>
            </w:r>
            <w:r w:rsidR="0006194C" w:rsidRPr="00C27AC0">
              <w:rPr>
                <w:rFonts w:ascii="Fira Sans" w:eastAsia="Century" w:hAnsi="Fira Sans" w:cs="Century"/>
                <w:szCs w:val="20"/>
              </w:rPr>
              <w:t>, seguendo lo stesso andamento dell’indicatore relativo a</w:t>
            </w:r>
            <w:r w:rsidRPr="00C27AC0">
              <w:rPr>
                <w:rFonts w:ascii="Fira Sans" w:eastAsia="Century" w:hAnsi="Fira Sans" w:cs="Century"/>
                <w:szCs w:val="20"/>
              </w:rPr>
              <w:t>gli studenti che proseguono nel II anno del CdS EMMP. Si rinvia pertanto al commento dell’indicatore iC14.</w:t>
            </w:r>
          </w:p>
          <w:p w14:paraId="1BDA5EB4" w14:textId="77777777" w:rsidR="008856BC" w:rsidRPr="00D55426" w:rsidRDefault="008856BC" w:rsidP="008856BC">
            <w:pPr>
              <w:spacing w:line="240" w:lineRule="atLeast"/>
              <w:jc w:val="both"/>
              <w:rPr>
                <w:rFonts w:ascii="Fira Sans" w:eastAsia="Century" w:hAnsi="Fira Sans" w:cs="Century"/>
                <w:szCs w:val="20"/>
                <w:u w:val="single"/>
              </w:rPr>
            </w:pPr>
            <w:r w:rsidRPr="00D55426">
              <w:rPr>
                <w:rFonts w:ascii="Fira Sans" w:eastAsia="Century" w:hAnsi="Fira Sans" w:cs="Century"/>
                <w:b/>
                <w:bCs/>
                <w:szCs w:val="20"/>
                <w:u w:val="single"/>
              </w:rPr>
              <w:t>iC22 Percentuale di immatricolati che si laureano, nel CdS, entro la durata normale del Corso</w:t>
            </w:r>
          </w:p>
          <w:p w14:paraId="236FD245" w14:textId="4CDC2715" w:rsidR="008856BC" w:rsidRPr="00C27AC0" w:rsidRDefault="0006194C" w:rsidP="008856BC">
            <w:pPr>
              <w:spacing w:line="240" w:lineRule="atLeast"/>
              <w:ind w:firstLine="284"/>
              <w:jc w:val="both"/>
              <w:rPr>
                <w:rFonts w:ascii="Fira Sans" w:eastAsia="Century" w:hAnsi="Fira Sans" w:cs="Century"/>
                <w:szCs w:val="20"/>
              </w:rPr>
            </w:pPr>
            <w:r w:rsidRPr="00C27AC0">
              <w:rPr>
                <w:rFonts w:ascii="Fira Sans" w:eastAsia="Century" w:hAnsi="Fira Sans" w:cs="Century"/>
                <w:szCs w:val="20"/>
              </w:rPr>
              <w:t>L</w:t>
            </w:r>
            <w:r w:rsidR="008856BC" w:rsidRPr="00C27AC0">
              <w:rPr>
                <w:rFonts w:ascii="Fira Sans" w:eastAsia="Century" w:hAnsi="Fira Sans" w:cs="Century"/>
                <w:szCs w:val="20"/>
              </w:rPr>
              <w:t>a percentuale di immatricolati che si laureano nel CdS EMMP entro la durata normale del Corso ha un andamento oscillante (75,0% nel 2017; 75,6% nel 2018; 58,1% nel 2019</w:t>
            </w:r>
            <w:r w:rsidRPr="00C27AC0">
              <w:rPr>
                <w:rFonts w:ascii="Fira Sans" w:eastAsia="Century" w:hAnsi="Fira Sans" w:cs="Century"/>
                <w:szCs w:val="20"/>
              </w:rPr>
              <w:t>, 67,6% nel 2020</w:t>
            </w:r>
            <w:r w:rsidR="008856BC" w:rsidRPr="00C27AC0">
              <w:rPr>
                <w:rFonts w:ascii="Fira Sans" w:eastAsia="Century" w:hAnsi="Fira Sans" w:cs="Century"/>
                <w:szCs w:val="20"/>
              </w:rPr>
              <w:t xml:space="preserve">) ciò anche a causa della natura dell’indicatore calcolato come rapporto tra numeri piccoli e variabili nel tempo. </w:t>
            </w:r>
            <w:r w:rsidRPr="00C27AC0">
              <w:rPr>
                <w:rFonts w:ascii="Fira Sans" w:eastAsia="Century" w:hAnsi="Fira Sans" w:cs="Century"/>
                <w:szCs w:val="20"/>
              </w:rPr>
              <w:t>Fatta eccezione per il 2019 in tutti gli altri anni l’indicatore riferito al CdS EMMP si posizion</w:t>
            </w:r>
            <w:r w:rsidR="00202832" w:rsidRPr="00C27AC0">
              <w:rPr>
                <w:rFonts w:ascii="Fira Sans" w:eastAsia="Century" w:hAnsi="Fira Sans" w:cs="Century"/>
                <w:szCs w:val="20"/>
              </w:rPr>
              <w:t>a</w:t>
            </w:r>
            <w:r w:rsidRPr="00C27AC0">
              <w:rPr>
                <w:rFonts w:ascii="Fira Sans" w:eastAsia="Century" w:hAnsi="Fira Sans" w:cs="Century"/>
                <w:szCs w:val="20"/>
              </w:rPr>
              <w:t xml:space="preserve"> al di sopra delle medie dell’Ateneo e al di sotto di quelle dell’Area geografica.</w:t>
            </w:r>
          </w:p>
          <w:p w14:paraId="4A29A87B" w14:textId="42E67F55" w:rsidR="001C377D" w:rsidRPr="00C27AC0" w:rsidRDefault="001C377D" w:rsidP="00F34AB4">
            <w:pPr>
              <w:spacing w:line="240" w:lineRule="atLeast"/>
              <w:ind w:firstLine="284"/>
              <w:jc w:val="both"/>
              <w:rPr>
                <w:rFonts w:ascii="Fira Sans" w:eastAsia="Century" w:hAnsi="Fira Sans" w:cs="Century"/>
                <w:szCs w:val="20"/>
              </w:rPr>
            </w:pPr>
            <w:r w:rsidRPr="00C27AC0">
              <w:rPr>
                <w:rFonts w:ascii="Fira Sans" w:hAnsi="Fira Sans"/>
              </w:rPr>
              <w:t xml:space="preserve">Da un confronto tra l’indicatore in esame e i precedenti indicatori relativi alla durata della carriera degli studenti si può notare, in riferimento all’ultimo anno di rilevazioni dei dati, un tendenziale allungamento del percorso di studi che tuttavia si ritiene </w:t>
            </w:r>
            <w:r w:rsidR="00C27AC0" w:rsidRPr="00C27AC0">
              <w:rPr>
                <w:rFonts w:ascii="Fira Sans" w:hAnsi="Fira Sans"/>
              </w:rPr>
              <w:t>sia ancora</w:t>
            </w:r>
            <w:r w:rsidRPr="00C27AC0">
              <w:rPr>
                <w:rFonts w:ascii="Fira Sans" w:hAnsi="Fira Sans"/>
              </w:rPr>
              <w:t xml:space="preserve"> </w:t>
            </w:r>
            <w:r w:rsidR="00C27AC0">
              <w:rPr>
                <w:rFonts w:ascii="Fira Sans" w:hAnsi="Fira Sans"/>
              </w:rPr>
              <w:t>accettabile</w:t>
            </w:r>
            <w:r w:rsidRPr="00C27AC0">
              <w:rPr>
                <w:rFonts w:ascii="Fira Sans" w:hAnsi="Fira Sans"/>
              </w:rPr>
              <w:t xml:space="preserve">. Viene comunque confermata l’esigenza, già evidenziate nella scorsa SMA, di un attento monitoraggio da parte del CCS </w:t>
            </w:r>
            <w:r w:rsidRPr="00C27AC0">
              <w:rPr>
                <w:rFonts w:ascii="Fira Sans" w:hAnsi="Fira Sans"/>
              </w:rPr>
              <w:lastRenderedPageBreak/>
              <w:t>delle progressioni di carriera degli studenti iscritti al CdS EMMP.</w:t>
            </w:r>
          </w:p>
          <w:p w14:paraId="275E7D3A" w14:textId="77777777" w:rsidR="001C377D" w:rsidRDefault="001C377D" w:rsidP="007D491F">
            <w:pPr>
              <w:spacing w:line="240" w:lineRule="atLeast"/>
              <w:jc w:val="both"/>
              <w:rPr>
                <w:rFonts w:ascii="Fira Sans" w:eastAsia="Century" w:hAnsi="Fira Sans" w:cs="Century"/>
                <w:b/>
                <w:bCs/>
                <w:smallCaps/>
                <w:szCs w:val="20"/>
              </w:rPr>
            </w:pPr>
          </w:p>
          <w:p w14:paraId="72300CFC" w14:textId="490030D7" w:rsidR="008856BC" w:rsidRPr="00283FF0" w:rsidRDefault="008856BC" w:rsidP="008856BC">
            <w:pPr>
              <w:spacing w:after="120" w:line="240" w:lineRule="atLeast"/>
              <w:jc w:val="both"/>
              <w:rPr>
                <w:rFonts w:ascii="Fira Sans" w:eastAsia="Century" w:hAnsi="Fira Sans" w:cs="Century"/>
                <w:szCs w:val="20"/>
              </w:rPr>
            </w:pPr>
            <w:r w:rsidRPr="00283FF0">
              <w:rPr>
                <w:rFonts w:ascii="Fira Sans" w:eastAsia="Century" w:hAnsi="Fira Sans" w:cs="Century"/>
                <w:b/>
                <w:bCs/>
                <w:smallCaps/>
                <w:szCs w:val="20"/>
              </w:rPr>
              <w:t>Soddisfazione e occupabilità</w:t>
            </w:r>
          </w:p>
          <w:p w14:paraId="386F1D5A" w14:textId="77777777" w:rsidR="008856BC" w:rsidRPr="00283FF0" w:rsidRDefault="008856BC" w:rsidP="008856BC">
            <w:pPr>
              <w:spacing w:line="240" w:lineRule="atLeast"/>
              <w:jc w:val="both"/>
              <w:rPr>
                <w:rFonts w:ascii="Fira Sans" w:eastAsia="Century" w:hAnsi="Fira Sans" w:cs="Century"/>
                <w:szCs w:val="20"/>
              </w:rPr>
            </w:pPr>
            <w:r w:rsidRPr="00283FF0">
              <w:rPr>
                <w:rFonts w:ascii="Fira Sans" w:eastAsia="Century" w:hAnsi="Fira Sans" w:cs="Century"/>
                <w:b/>
                <w:bCs/>
                <w:szCs w:val="20"/>
              </w:rPr>
              <w:t>iC25 Percentuale di laureandi complessivamente soddisfatti del CdS</w:t>
            </w:r>
          </w:p>
          <w:p w14:paraId="42F8BED0" w14:textId="36F4C32B" w:rsidR="0080324D" w:rsidRPr="00C27AC0" w:rsidRDefault="008856BC" w:rsidP="008856BC">
            <w:pPr>
              <w:spacing w:line="240" w:lineRule="atLeast"/>
              <w:ind w:firstLine="284"/>
              <w:jc w:val="both"/>
              <w:rPr>
                <w:rFonts w:ascii="Fira Sans" w:eastAsia="Century" w:hAnsi="Fira Sans" w:cs="Century"/>
                <w:szCs w:val="20"/>
              </w:rPr>
            </w:pPr>
            <w:r w:rsidRPr="00C27AC0">
              <w:rPr>
                <w:rFonts w:ascii="Fira Sans" w:eastAsia="Century" w:hAnsi="Fira Sans" w:cs="Century"/>
                <w:szCs w:val="20"/>
              </w:rPr>
              <w:t>La percentuale di laureandi complessivamente soddisfatti del CdS EMMP</w:t>
            </w:r>
            <w:r w:rsidR="00283FF0" w:rsidRPr="00C27AC0">
              <w:rPr>
                <w:rFonts w:ascii="Fira Sans" w:eastAsia="Century" w:hAnsi="Fira Sans" w:cs="Century"/>
                <w:szCs w:val="20"/>
              </w:rPr>
              <w:t xml:space="preserve"> </w:t>
            </w:r>
            <w:bookmarkStart w:id="2" w:name="_Hlk114767338"/>
            <w:r w:rsidR="00283FF0" w:rsidRPr="00C27AC0">
              <w:rPr>
                <w:rFonts w:ascii="Fira Sans" w:eastAsia="Century" w:hAnsi="Fira Sans" w:cs="Century"/>
                <w:szCs w:val="20"/>
              </w:rPr>
              <w:t>(88,9% nel 2018, 97,1% nel 2019; 100,0% nel 2020</w:t>
            </w:r>
            <w:r w:rsidR="0080324D" w:rsidRPr="00C27AC0">
              <w:rPr>
                <w:rFonts w:ascii="Fira Sans" w:eastAsia="Century" w:hAnsi="Fira Sans" w:cs="Century"/>
                <w:szCs w:val="20"/>
              </w:rPr>
              <w:t>, 95,</w:t>
            </w:r>
            <w:r w:rsidR="00AE22B7" w:rsidRPr="00C27AC0">
              <w:rPr>
                <w:rFonts w:ascii="Fira Sans" w:eastAsia="Century" w:hAnsi="Fira Sans" w:cs="Century"/>
                <w:szCs w:val="20"/>
              </w:rPr>
              <w:t>0</w:t>
            </w:r>
            <w:r w:rsidR="0080324D" w:rsidRPr="00C27AC0">
              <w:rPr>
                <w:rFonts w:ascii="Fira Sans" w:eastAsia="Century" w:hAnsi="Fira Sans" w:cs="Century"/>
                <w:szCs w:val="20"/>
              </w:rPr>
              <w:t>% nel 2020</w:t>
            </w:r>
            <w:r w:rsidR="00283FF0" w:rsidRPr="00C27AC0">
              <w:rPr>
                <w:rFonts w:ascii="Fira Sans" w:eastAsia="Century" w:hAnsi="Fira Sans" w:cs="Century"/>
                <w:szCs w:val="20"/>
              </w:rPr>
              <w:t>)</w:t>
            </w:r>
            <w:bookmarkEnd w:id="2"/>
            <w:r w:rsidR="00283FF0" w:rsidRPr="00C27AC0">
              <w:rPr>
                <w:rFonts w:ascii="Fira Sans" w:eastAsia="Century" w:hAnsi="Fira Sans" w:cs="Century"/>
                <w:szCs w:val="20"/>
              </w:rPr>
              <w:t>, pur oscillante</w:t>
            </w:r>
            <w:r w:rsidRPr="00C27AC0">
              <w:rPr>
                <w:rFonts w:ascii="Fira Sans" w:eastAsia="Century" w:hAnsi="Fira Sans" w:cs="Century"/>
                <w:szCs w:val="20"/>
              </w:rPr>
              <w:t xml:space="preserve"> nel periodo di riferimento </w:t>
            </w:r>
            <w:r w:rsidR="0080324D" w:rsidRPr="00C27AC0">
              <w:rPr>
                <w:rFonts w:ascii="Fira Sans" w:eastAsia="Century" w:hAnsi="Fira Sans" w:cs="Century"/>
                <w:szCs w:val="20"/>
              </w:rPr>
              <w:t>(</w:t>
            </w:r>
            <w:r w:rsidR="00283FF0" w:rsidRPr="00C27AC0">
              <w:rPr>
                <w:rFonts w:ascii="Fira Sans" w:eastAsia="Century" w:hAnsi="Fira Sans" w:cs="Century"/>
                <w:szCs w:val="20"/>
              </w:rPr>
              <w:t xml:space="preserve">risentendo di minime variazioni in termini assoluti </w:t>
            </w:r>
            <w:r w:rsidR="0080324D" w:rsidRPr="00C27AC0">
              <w:rPr>
                <w:rFonts w:ascii="Fira Sans" w:eastAsia="Century" w:hAnsi="Fira Sans" w:cs="Century"/>
                <w:szCs w:val="20"/>
              </w:rPr>
              <w:t xml:space="preserve">considerando che soltanto </w:t>
            </w:r>
            <w:r w:rsidR="00283FF0" w:rsidRPr="00C27AC0">
              <w:rPr>
                <w:rFonts w:ascii="Fira Sans" w:eastAsia="Century" w:hAnsi="Fira Sans" w:cs="Century"/>
                <w:szCs w:val="20"/>
              </w:rPr>
              <w:t>2 studenti su 40 nel 2020 hanno dichiarato di non essere complessivamente soddisfatti)</w:t>
            </w:r>
            <w:r w:rsidR="0080324D" w:rsidRPr="00C27AC0">
              <w:rPr>
                <w:rFonts w:ascii="Fira Sans" w:eastAsia="Century" w:hAnsi="Fira Sans" w:cs="Century"/>
                <w:szCs w:val="20"/>
              </w:rPr>
              <w:t xml:space="preserve">, è decisamente molto buona. </w:t>
            </w:r>
            <w:r w:rsidRPr="00C27AC0">
              <w:rPr>
                <w:rFonts w:ascii="Fira Sans" w:eastAsia="Century" w:hAnsi="Fira Sans" w:cs="Century"/>
                <w:szCs w:val="20"/>
              </w:rPr>
              <w:t xml:space="preserve"> </w:t>
            </w:r>
          </w:p>
          <w:p w14:paraId="288D3CA3" w14:textId="1F299976" w:rsidR="0080324D" w:rsidRPr="00C27AC0" w:rsidRDefault="0080324D" w:rsidP="00DF6280">
            <w:pPr>
              <w:spacing w:after="120" w:line="240" w:lineRule="atLeast"/>
              <w:ind w:firstLine="284"/>
              <w:jc w:val="both"/>
              <w:rPr>
                <w:rFonts w:ascii="Fira Sans" w:eastAsia="Century" w:hAnsi="Fira Sans" w:cs="Century"/>
                <w:szCs w:val="20"/>
              </w:rPr>
            </w:pPr>
            <w:r w:rsidRPr="00C27AC0">
              <w:rPr>
                <w:rFonts w:ascii="Fira Sans" w:eastAsia="Century" w:hAnsi="Fira Sans" w:cs="Century"/>
                <w:szCs w:val="20"/>
              </w:rPr>
              <w:t>Dal 2019 l’indicatore</w:t>
            </w:r>
            <w:r w:rsidR="008856BC" w:rsidRPr="00C27AC0">
              <w:rPr>
                <w:rFonts w:ascii="Fira Sans" w:eastAsia="Century" w:hAnsi="Fira Sans" w:cs="Century"/>
                <w:szCs w:val="20"/>
              </w:rPr>
              <w:t xml:space="preserve"> </w:t>
            </w:r>
            <w:r w:rsidR="00DF6280" w:rsidRPr="00C27AC0">
              <w:rPr>
                <w:rFonts w:ascii="Fira Sans" w:eastAsia="Century" w:hAnsi="Fira Sans" w:cs="Century"/>
                <w:szCs w:val="20"/>
              </w:rPr>
              <w:t xml:space="preserve">risulta </w:t>
            </w:r>
            <w:r w:rsidR="008856BC" w:rsidRPr="00C27AC0">
              <w:rPr>
                <w:rFonts w:ascii="Fira Sans" w:eastAsia="Century" w:hAnsi="Fira Sans" w:cs="Century"/>
                <w:szCs w:val="20"/>
              </w:rPr>
              <w:t xml:space="preserve">superiore alle medie di tutti gli altri aggregati e </w:t>
            </w:r>
            <w:r w:rsidRPr="00C27AC0">
              <w:rPr>
                <w:rFonts w:ascii="Fira Sans" w:eastAsia="Century" w:hAnsi="Fira Sans" w:cs="Century"/>
                <w:szCs w:val="20"/>
              </w:rPr>
              <w:t>può quindi essere considerato un punto di forza del CdS EMMP.</w:t>
            </w:r>
          </w:p>
          <w:p w14:paraId="71233DC0" w14:textId="77777777" w:rsidR="008856BC" w:rsidRPr="0080324D" w:rsidRDefault="008856BC" w:rsidP="008856BC">
            <w:pPr>
              <w:spacing w:line="240" w:lineRule="atLeast"/>
              <w:jc w:val="both"/>
              <w:rPr>
                <w:rFonts w:ascii="Fira Sans" w:eastAsia="Century" w:hAnsi="Fira Sans" w:cs="Century"/>
                <w:szCs w:val="20"/>
              </w:rPr>
            </w:pPr>
            <w:r w:rsidRPr="0080324D">
              <w:rPr>
                <w:rFonts w:ascii="Fira Sans" w:eastAsia="Century" w:hAnsi="Fira Sans" w:cs="Century"/>
                <w:b/>
                <w:bCs/>
                <w:szCs w:val="20"/>
              </w:rPr>
              <w:t>iC26 Percentuale di laureati occupati a un anno dal Titolo – Laureati che dichiarano di svolgere un’attività lavorativa o di formazione retribuita (es. dottorato con borsa, specializ</w:t>
            </w:r>
            <w:r w:rsidRPr="0080324D">
              <w:rPr>
                <w:rFonts w:ascii="Fira Sans" w:eastAsia="Century" w:hAnsi="Fira Sans" w:cs="Century"/>
                <w:b/>
                <w:bCs/>
                <w:szCs w:val="20"/>
              </w:rPr>
              <w:softHyphen/>
              <w:t>zazione in medicina, ecc.).</w:t>
            </w:r>
          </w:p>
          <w:p w14:paraId="13BB5C44" w14:textId="77777777" w:rsidR="00C27AC0" w:rsidRPr="00C27AC0" w:rsidRDefault="008856BC" w:rsidP="00453538">
            <w:pPr>
              <w:spacing w:line="240" w:lineRule="atLeast"/>
              <w:ind w:firstLine="284"/>
              <w:jc w:val="both"/>
              <w:rPr>
                <w:rFonts w:ascii="Fira Sans" w:eastAsia="Century" w:hAnsi="Fira Sans" w:cs="Century"/>
                <w:szCs w:val="20"/>
              </w:rPr>
            </w:pPr>
            <w:r w:rsidRPr="00C27AC0">
              <w:rPr>
                <w:rFonts w:ascii="Fira Sans" w:eastAsia="Century" w:hAnsi="Fira Sans" w:cs="Century"/>
                <w:szCs w:val="20"/>
              </w:rPr>
              <w:t xml:space="preserve">L’indicatore, per sua natura e per la dimensione della popolazione a cui è applicato, presenta </w:t>
            </w:r>
            <w:r w:rsidR="00DF6280" w:rsidRPr="00C27AC0">
              <w:rPr>
                <w:rFonts w:ascii="Fira Sans" w:eastAsia="Century" w:hAnsi="Fira Sans" w:cs="Century"/>
                <w:szCs w:val="20"/>
              </w:rPr>
              <w:t>una notevole</w:t>
            </w:r>
            <w:r w:rsidRPr="00C27AC0">
              <w:rPr>
                <w:rFonts w:ascii="Fira Sans" w:eastAsia="Century" w:hAnsi="Fira Sans" w:cs="Century"/>
                <w:szCs w:val="20"/>
              </w:rPr>
              <w:t xml:space="preserve"> variabilità</w:t>
            </w:r>
            <w:r w:rsidR="00DF6280" w:rsidRPr="00C27AC0">
              <w:rPr>
                <w:rFonts w:ascii="Fira Sans" w:eastAsia="Century" w:hAnsi="Fira Sans" w:cs="Century"/>
                <w:szCs w:val="20"/>
              </w:rPr>
              <w:t xml:space="preserve"> (75,0% nel 2018, 84,6% nel 2019; 76,9% nel 2020, 88,9% nel 2021)</w:t>
            </w:r>
            <w:r w:rsidRPr="00C27AC0">
              <w:rPr>
                <w:rFonts w:ascii="Fira Sans" w:eastAsia="Century" w:hAnsi="Fira Sans" w:cs="Century"/>
                <w:szCs w:val="20"/>
              </w:rPr>
              <w:t xml:space="preserve">. </w:t>
            </w:r>
          </w:p>
          <w:p w14:paraId="684E9A33" w14:textId="77777777" w:rsidR="001E4C17" w:rsidRDefault="0080324D" w:rsidP="00453538">
            <w:pPr>
              <w:spacing w:line="240" w:lineRule="atLeast"/>
              <w:ind w:firstLine="284"/>
              <w:jc w:val="both"/>
              <w:rPr>
                <w:rFonts w:ascii="Fira Sans" w:eastAsia="Century" w:hAnsi="Fira Sans" w:cs="Century"/>
                <w:szCs w:val="20"/>
              </w:rPr>
            </w:pPr>
            <w:r w:rsidRPr="00C27AC0">
              <w:rPr>
                <w:rFonts w:ascii="Fira Sans" w:eastAsia="Century" w:hAnsi="Fira Sans" w:cs="Century"/>
                <w:szCs w:val="20"/>
              </w:rPr>
              <w:t xml:space="preserve">Si noti che nell’anno 2021 la percentuale </w:t>
            </w:r>
            <w:r w:rsidR="00DF6280" w:rsidRPr="00C27AC0">
              <w:rPr>
                <w:rFonts w:ascii="Fira Sans" w:eastAsia="Century" w:hAnsi="Fira Sans" w:cs="Century"/>
                <w:szCs w:val="20"/>
              </w:rPr>
              <w:t xml:space="preserve">di laureati occupati a un anno dal conseguimento del titolo di laurea </w:t>
            </w:r>
            <w:r w:rsidRPr="00C27AC0">
              <w:rPr>
                <w:rFonts w:ascii="Fira Sans" w:eastAsia="Century" w:hAnsi="Fira Sans" w:cs="Century"/>
                <w:szCs w:val="20"/>
              </w:rPr>
              <w:t xml:space="preserve">ha subito una </w:t>
            </w:r>
            <w:r w:rsidR="00453538" w:rsidRPr="00C27AC0">
              <w:rPr>
                <w:rFonts w:ascii="Fira Sans" w:eastAsia="Century" w:hAnsi="Fira Sans" w:cs="Century"/>
                <w:szCs w:val="20"/>
              </w:rPr>
              <w:t>crescita, posizionandosi al di sopra delle medie degli altri aggregati, il che sembra confermare le osservazioni precedentemente svolte (v. indicatore iC15) in relazione alle maggiori opportunità di lavoro che stanno emergendo in questi ultimi anni non solo nei confronti dei laureati, ma anche dei laureandi e degli studenti del CdS EMMP.</w:t>
            </w:r>
            <w:r w:rsidR="008856BC" w:rsidRPr="00C27AC0">
              <w:rPr>
                <w:rFonts w:ascii="Fira Sans" w:eastAsia="Century" w:hAnsi="Fira Sans" w:cs="Century"/>
                <w:szCs w:val="20"/>
              </w:rPr>
              <w:t xml:space="preserve"> </w:t>
            </w:r>
            <w:bookmarkStart w:id="3" w:name="_Toc477763518"/>
            <w:bookmarkEnd w:id="3"/>
          </w:p>
          <w:p w14:paraId="620053EC" w14:textId="77777777" w:rsidR="00D55426" w:rsidRDefault="00D55426" w:rsidP="00453538">
            <w:pPr>
              <w:spacing w:line="240" w:lineRule="atLeast"/>
              <w:ind w:firstLine="284"/>
              <w:jc w:val="both"/>
              <w:rPr>
                <w:rFonts w:ascii="Fira Sans" w:eastAsia="Century" w:hAnsi="Fira Sans" w:cs="Century"/>
                <w:szCs w:val="20"/>
              </w:rPr>
            </w:pPr>
          </w:p>
          <w:p w14:paraId="38538BF7" w14:textId="77777777" w:rsidR="00D55426" w:rsidRDefault="00D55426" w:rsidP="00647905">
            <w:pPr>
              <w:spacing w:after="120" w:line="240" w:lineRule="atLeast"/>
              <w:jc w:val="both"/>
              <w:rPr>
                <w:rFonts w:ascii="Fira Sans" w:eastAsiaTheme="minorHAnsi" w:hAnsi="Fira Sans" w:cs="FiraSans,BoldItalic"/>
                <w:b/>
                <w:bCs/>
                <w:szCs w:val="20"/>
                <w:lang w:eastAsia="en-US"/>
              </w:rPr>
            </w:pPr>
            <w:r w:rsidRPr="00DD4BB1">
              <w:rPr>
                <w:rFonts w:ascii="Fira Sans" w:eastAsiaTheme="minorHAnsi" w:hAnsi="Fira Sans" w:cs="FiraSans,BoldItalic"/>
                <w:b/>
                <w:bCs/>
                <w:szCs w:val="20"/>
                <w:lang w:eastAsia="en-US"/>
              </w:rPr>
              <w:t>Indicatori di approfondimento per la sperimentazione - Consistenza e qualificazione del corpo docente</w:t>
            </w:r>
          </w:p>
          <w:p w14:paraId="621C2CBA" w14:textId="077D7659" w:rsidR="00D55426" w:rsidRDefault="00D55426" w:rsidP="00D55426">
            <w:pPr>
              <w:spacing w:line="240" w:lineRule="atLeast"/>
              <w:jc w:val="both"/>
              <w:rPr>
                <w:rFonts w:ascii="Fira Sans" w:eastAsiaTheme="minorHAnsi" w:hAnsi="Fira Sans" w:cs="FiraSans,Italic"/>
                <w:b/>
                <w:bCs/>
                <w:szCs w:val="20"/>
                <w:u w:val="single"/>
                <w:lang w:eastAsia="en-US"/>
              </w:rPr>
            </w:pPr>
            <w:r w:rsidRPr="00647905">
              <w:rPr>
                <w:rFonts w:ascii="Fira Sans" w:eastAsiaTheme="minorHAnsi" w:hAnsi="Fira Sans" w:cs="FiraSans,Italic"/>
                <w:b/>
                <w:bCs/>
                <w:szCs w:val="20"/>
                <w:u w:val="single"/>
                <w:lang w:eastAsia="en-US"/>
              </w:rPr>
              <w:t>iC27 Rapporto studenti iscritti/docenti complessivo</w:t>
            </w:r>
          </w:p>
          <w:p w14:paraId="02696555" w14:textId="3046FEF6" w:rsidR="0080116C" w:rsidRDefault="00EC781D" w:rsidP="0080116C">
            <w:pPr>
              <w:spacing w:line="240" w:lineRule="atLeast"/>
              <w:jc w:val="both"/>
              <w:rPr>
                <w:rFonts w:ascii="Fira Sans" w:eastAsiaTheme="minorHAnsi" w:hAnsi="Fira Sans" w:cs="FiraSans,Italic"/>
                <w:bCs/>
                <w:szCs w:val="20"/>
                <w:lang w:eastAsia="en-US"/>
              </w:rPr>
            </w:pPr>
            <w:r w:rsidRPr="00DD4BB1">
              <w:rPr>
                <w:rFonts w:ascii="Fira Sans" w:eastAsiaTheme="minorHAnsi" w:hAnsi="Fira Sans" w:cs="FiraSans,Italic"/>
                <w:bCs/>
                <w:szCs w:val="20"/>
                <w:lang w:eastAsia="en-US"/>
              </w:rPr>
              <w:t xml:space="preserve">L’indicatore si </w:t>
            </w:r>
            <w:r>
              <w:rPr>
                <w:rFonts w:ascii="Fira Sans" w:eastAsiaTheme="minorHAnsi" w:hAnsi="Fira Sans" w:cs="FiraSans,Italic"/>
                <w:bCs/>
                <w:szCs w:val="20"/>
                <w:lang w:eastAsia="en-US"/>
              </w:rPr>
              <w:t>colloca sempre su valori inferiori a quelli di Ateneo (11,4 nel 2017, 14,2 nel 2018, 18,6 nel 2019, 21,4 nel 2020 e 21,4 anche nel 2021) risentendo, in particolare, dell’incremento del numeratore costituito dal numero di studenti iscritti</w:t>
            </w:r>
            <w:r w:rsidR="00593835">
              <w:rPr>
                <w:rFonts w:ascii="Fira Sans" w:eastAsiaTheme="minorHAnsi" w:hAnsi="Fira Sans" w:cs="FiraSans,Italic"/>
                <w:bCs/>
                <w:szCs w:val="20"/>
                <w:lang w:eastAsia="en-US"/>
              </w:rPr>
              <w:t>.</w:t>
            </w:r>
            <w:r w:rsidR="008107D4">
              <w:rPr>
                <w:rFonts w:ascii="Fira Sans" w:eastAsiaTheme="minorHAnsi" w:hAnsi="Fira Sans" w:cs="FiraSans,Italic"/>
                <w:bCs/>
                <w:szCs w:val="20"/>
                <w:lang w:eastAsia="en-US"/>
              </w:rPr>
              <w:t xml:space="preserve"> Il divario con la media di Ateneo tende a ridursi a partire dall’anno 2020 proprio in relazione a tale aspetto dal momento che il denominatore è sostanzialmente posizionato su valori tra 8 e 9 in tutto il periodo considerato.</w:t>
            </w:r>
            <w:r w:rsidR="009113E7">
              <w:rPr>
                <w:rFonts w:ascii="Fira Sans" w:eastAsiaTheme="minorHAnsi" w:hAnsi="Fira Sans" w:cs="FiraSans,Italic"/>
                <w:bCs/>
                <w:szCs w:val="20"/>
                <w:lang w:eastAsia="en-US"/>
              </w:rPr>
              <w:t xml:space="preserve"> In particolare nell’ultimo anno di rilevazione del dato, l’indicatore di Ateneo è pari a 24,2 rispetto a 21,4 </w:t>
            </w:r>
            <w:r w:rsidR="0080116C">
              <w:rPr>
                <w:rFonts w:ascii="Fira Sans" w:eastAsiaTheme="minorHAnsi" w:hAnsi="Fira Sans" w:cs="FiraSans,Italic"/>
                <w:bCs/>
                <w:szCs w:val="20"/>
                <w:lang w:eastAsia="en-US"/>
              </w:rPr>
              <w:t>del</w:t>
            </w:r>
            <w:r w:rsidR="009113E7">
              <w:rPr>
                <w:rFonts w:ascii="Fira Sans" w:eastAsiaTheme="minorHAnsi" w:hAnsi="Fira Sans" w:cs="FiraSans,Italic"/>
                <w:bCs/>
                <w:szCs w:val="20"/>
                <w:lang w:eastAsia="en-US"/>
              </w:rPr>
              <w:t xml:space="preserve">l’indicatore del CdS EMMP. </w:t>
            </w:r>
          </w:p>
          <w:p w14:paraId="7331F1B2" w14:textId="05923B6A" w:rsidR="00D55426" w:rsidRPr="00C76D30" w:rsidRDefault="009113E7" w:rsidP="009113E7">
            <w:pPr>
              <w:spacing w:after="120" w:line="240" w:lineRule="atLeast"/>
              <w:ind w:firstLine="437"/>
              <w:jc w:val="both"/>
              <w:rPr>
                <w:rFonts w:ascii="Fira Sans" w:eastAsiaTheme="minorHAnsi" w:hAnsi="Fira Sans" w:cs="FiraSans,Italic"/>
                <w:bCs/>
                <w:szCs w:val="20"/>
                <w:lang w:eastAsia="en-US"/>
              </w:rPr>
            </w:pPr>
            <w:r>
              <w:rPr>
                <w:rFonts w:ascii="Fira Sans" w:eastAsiaTheme="minorHAnsi" w:hAnsi="Fira Sans" w:cs="FiraSans,Italic"/>
                <w:bCs/>
                <w:szCs w:val="20"/>
                <w:lang w:eastAsia="en-US"/>
              </w:rPr>
              <w:t xml:space="preserve">L’iC27 non appare dunque critico. Ciò nonostante </w:t>
            </w:r>
            <w:r w:rsidR="00647905">
              <w:rPr>
                <w:rFonts w:ascii="Fira Sans" w:eastAsiaTheme="minorHAnsi" w:hAnsi="Fira Sans" w:cs="FiraSans,Italic"/>
                <w:bCs/>
                <w:szCs w:val="20"/>
                <w:lang w:eastAsia="en-US"/>
              </w:rPr>
              <w:t xml:space="preserve">il </w:t>
            </w:r>
            <w:r w:rsidR="008C7D66">
              <w:rPr>
                <w:rFonts w:ascii="Fira Sans" w:eastAsiaTheme="minorHAnsi" w:hAnsi="Fira Sans" w:cs="FiraSans,Italic"/>
                <w:bCs/>
                <w:szCs w:val="20"/>
                <w:lang w:eastAsia="en-US"/>
              </w:rPr>
              <w:t>CCS si riserva di monitorar</w:t>
            </w:r>
            <w:r w:rsidR="009E0453">
              <w:rPr>
                <w:rFonts w:ascii="Fira Sans" w:eastAsiaTheme="minorHAnsi" w:hAnsi="Fira Sans" w:cs="FiraSans,Italic"/>
                <w:bCs/>
                <w:szCs w:val="20"/>
                <w:lang w:eastAsia="en-US"/>
              </w:rPr>
              <w:t>n</w:t>
            </w:r>
            <w:r w:rsidR="008C7D66">
              <w:rPr>
                <w:rFonts w:ascii="Fira Sans" w:eastAsiaTheme="minorHAnsi" w:hAnsi="Fira Sans" w:cs="FiraSans,Italic"/>
                <w:bCs/>
                <w:szCs w:val="20"/>
                <w:lang w:eastAsia="en-US"/>
              </w:rPr>
              <w:t xml:space="preserve">e con attenzione l’andamento nei prossimi </w:t>
            </w:r>
            <w:r w:rsidR="00647905">
              <w:rPr>
                <w:rFonts w:ascii="Fira Sans" w:eastAsiaTheme="minorHAnsi" w:hAnsi="Fira Sans" w:cs="FiraSans,Italic"/>
                <w:bCs/>
                <w:szCs w:val="20"/>
                <w:lang w:eastAsia="en-US"/>
              </w:rPr>
              <w:t>anni accademici</w:t>
            </w:r>
            <w:r w:rsidR="008C7D66">
              <w:rPr>
                <w:rFonts w:ascii="Fira Sans" w:eastAsiaTheme="minorHAnsi" w:hAnsi="Fira Sans" w:cs="FiraSans,Italic"/>
                <w:bCs/>
                <w:szCs w:val="20"/>
                <w:lang w:eastAsia="en-US"/>
              </w:rPr>
              <w:t>.</w:t>
            </w:r>
            <w:r w:rsidR="00593835">
              <w:rPr>
                <w:rFonts w:ascii="Fira Sans" w:eastAsiaTheme="minorHAnsi" w:hAnsi="Fira Sans" w:cs="FiraSans,Italic"/>
                <w:bCs/>
                <w:szCs w:val="20"/>
                <w:lang w:eastAsia="en-US"/>
              </w:rPr>
              <w:t xml:space="preserve"> </w:t>
            </w:r>
          </w:p>
          <w:p w14:paraId="0BDD0817" w14:textId="5CCBBD08" w:rsidR="00D55426" w:rsidRDefault="00D55426" w:rsidP="00D55426">
            <w:pPr>
              <w:spacing w:line="240" w:lineRule="atLeast"/>
              <w:jc w:val="both"/>
              <w:rPr>
                <w:rFonts w:ascii="Fira Sans" w:eastAsiaTheme="minorHAnsi" w:hAnsi="Fira Sans" w:cs="FiraSans,Italic"/>
                <w:b/>
                <w:bCs/>
                <w:szCs w:val="20"/>
                <w:u w:val="single"/>
                <w:lang w:eastAsia="en-US"/>
              </w:rPr>
            </w:pPr>
            <w:r w:rsidRPr="00C76D30">
              <w:rPr>
                <w:rFonts w:ascii="Fira Sans" w:eastAsiaTheme="minorHAnsi" w:hAnsi="Fira Sans" w:cs="FiraSans,Italic"/>
                <w:b/>
                <w:bCs/>
                <w:szCs w:val="20"/>
                <w:u w:val="single"/>
                <w:lang w:eastAsia="en-US"/>
              </w:rPr>
              <w:t xml:space="preserve">iC28 </w:t>
            </w:r>
            <w:r w:rsidR="00D758C6" w:rsidRPr="00C76D30">
              <w:rPr>
                <w:rFonts w:ascii="Fira Sans" w:eastAsiaTheme="minorHAnsi" w:hAnsi="Fira Sans" w:cs="FiraSans,Italic"/>
                <w:b/>
                <w:bCs/>
                <w:szCs w:val="20"/>
                <w:u w:val="single"/>
                <w:lang w:eastAsia="en-US"/>
              </w:rPr>
              <w:t>Rapporto studenti iscritti al primo anno/docenti degli insegnamenti del primo anno</w:t>
            </w:r>
          </w:p>
          <w:p w14:paraId="321AFEBA" w14:textId="49182D9E" w:rsidR="00593835" w:rsidRPr="002B729E" w:rsidRDefault="00593835" w:rsidP="00C76D30">
            <w:pPr>
              <w:spacing w:line="240" w:lineRule="atLeast"/>
              <w:ind w:firstLine="434"/>
              <w:jc w:val="both"/>
              <w:rPr>
                <w:rFonts w:ascii="Fira Sans" w:eastAsiaTheme="minorHAnsi" w:hAnsi="Fira Sans" w:cs="FiraSans,Italic"/>
                <w:bCs/>
                <w:spacing w:val="-2"/>
                <w:szCs w:val="20"/>
                <w:lang w:eastAsia="en-US"/>
              </w:rPr>
            </w:pPr>
            <w:r w:rsidRPr="0080116C">
              <w:rPr>
                <w:rFonts w:ascii="Fira Sans" w:eastAsiaTheme="minorHAnsi" w:hAnsi="Fira Sans" w:cs="FiraSans,Italic"/>
                <w:bCs/>
                <w:spacing w:val="-2"/>
                <w:szCs w:val="20"/>
                <w:lang w:eastAsia="en-US"/>
              </w:rPr>
              <w:t xml:space="preserve">L’indicatore presenta valori </w:t>
            </w:r>
            <w:r w:rsidR="00584BA7" w:rsidRPr="0080116C">
              <w:rPr>
                <w:rFonts w:ascii="Fira Sans" w:eastAsiaTheme="minorHAnsi" w:hAnsi="Fira Sans" w:cs="FiraSans,Italic"/>
                <w:bCs/>
                <w:spacing w:val="-2"/>
                <w:szCs w:val="20"/>
                <w:lang w:eastAsia="en-US"/>
              </w:rPr>
              <w:t xml:space="preserve">crescenti </w:t>
            </w:r>
            <w:r w:rsidRPr="0080116C">
              <w:rPr>
                <w:rFonts w:ascii="Fira Sans" w:eastAsiaTheme="minorHAnsi" w:hAnsi="Fira Sans" w:cs="FiraSans,Italic"/>
                <w:bCs/>
                <w:spacing w:val="-2"/>
                <w:szCs w:val="20"/>
                <w:lang w:eastAsia="en-US"/>
              </w:rPr>
              <w:t>fino al 2020 ed evidenzia un’inversione di tendenza nel 2021 (9,6 nel 2017, 14,5 nel 2018, 16,7 nel 2019, 21,3 nel 2020 e 19,7 nel 2021). L’andamento riflette sostanzialmente l’incremento degli studenti iscritti al primo anno del CdS</w:t>
            </w:r>
            <w:r w:rsidR="0080116C" w:rsidRPr="0080116C">
              <w:rPr>
                <w:rFonts w:ascii="Fira Sans" w:eastAsiaTheme="minorHAnsi" w:hAnsi="Fira Sans" w:cs="FiraSans,Italic"/>
                <w:bCs/>
                <w:spacing w:val="-2"/>
                <w:szCs w:val="20"/>
                <w:lang w:eastAsia="en-US"/>
              </w:rPr>
              <w:t xml:space="preserve"> (il che conferma l’attrattività del CdS EMMP)</w:t>
            </w:r>
            <w:r w:rsidR="00584BA7" w:rsidRPr="0080116C">
              <w:rPr>
                <w:rFonts w:ascii="Fira Sans" w:eastAsiaTheme="minorHAnsi" w:hAnsi="Fira Sans" w:cs="FiraSans,Italic"/>
                <w:bCs/>
                <w:spacing w:val="-2"/>
                <w:szCs w:val="20"/>
                <w:lang w:eastAsia="en-US"/>
              </w:rPr>
              <w:t>,</w:t>
            </w:r>
            <w:r w:rsidRPr="0080116C">
              <w:rPr>
                <w:rFonts w:ascii="Fira Sans" w:eastAsiaTheme="minorHAnsi" w:hAnsi="Fira Sans" w:cs="FiraSans,Italic"/>
                <w:bCs/>
                <w:spacing w:val="-2"/>
                <w:szCs w:val="20"/>
                <w:lang w:eastAsia="en-US"/>
              </w:rPr>
              <w:t xml:space="preserve"> almeno fino </w:t>
            </w:r>
            <w:r w:rsidR="008C7D66" w:rsidRPr="0080116C">
              <w:rPr>
                <w:rFonts w:ascii="Fira Sans" w:eastAsiaTheme="minorHAnsi" w:hAnsi="Fira Sans" w:cs="FiraSans,Italic"/>
                <w:bCs/>
                <w:spacing w:val="-2"/>
                <w:szCs w:val="20"/>
                <w:lang w:eastAsia="en-US"/>
              </w:rPr>
              <w:t>al 2020</w:t>
            </w:r>
            <w:r w:rsidR="00BA4E21" w:rsidRPr="0080116C">
              <w:rPr>
                <w:rFonts w:ascii="Fira Sans" w:eastAsiaTheme="minorHAnsi" w:hAnsi="Fira Sans" w:cs="FiraSans,Italic"/>
                <w:bCs/>
                <w:spacing w:val="-2"/>
                <w:szCs w:val="20"/>
                <w:lang w:eastAsia="en-US"/>
              </w:rPr>
              <w:t xml:space="preserve"> (44 nel 2017, 63 nel 2018, 71 nel 2019, 85 nel 2020 e 80 nel 2021)</w:t>
            </w:r>
            <w:r w:rsidR="00584BA7" w:rsidRPr="0080116C">
              <w:rPr>
                <w:rFonts w:ascii="Fira Sans" w:eastAsiaTheme="minorHAnsi" w:hAnsi="Fira Sans" w:cs="FiraSans,Italic"/>
                <w:bCs/>
                <w:spacing w:val="-2"/>
                <w:szCs w:val="20"/>
                <w:lang w:eastAsia="en-US"/>
              </w:rPr>
              <w:t>;</w:t>
            </w:r>
            <w:r w:rsidRPr="0080116C">
              <w:rPr>
                <w:rFonts w:ascii="Fira Sans" w:eastAsiaTheme="minorHAnsi" w:hAnsi="Fira Sans" w:cs="FiraSans,Italic"/>
                <w:bCs/>
                <w:spacing w:val="-2"/>
                <w:szCs w:val="20"/>
                <w:lang w:eastAsia="en-US"/>
              </w:rPr>
              <w:t xml:space="preserve"> </w:t>
            </w:r>
            <w:r w:rsidR="00584BA7" w:rsidRPr="0080116C">
              <w:rPr>
                <w:rFonts w:ascii="Fira Sans" w:eastAsiaTheme="minorHAnsi" w:hAnsi="Fira Sans" w:cs="FiraSans,Italic"/>
                <w:bCs/>
                <w:spacing w:val="-2"/>
                <w:szCs w:val="20"/>
                <w:lang w:eastAsia="en-US"/>
              </w:rPr>
              <w:t>t</w:t>
            </w:r>
            <w:r w:rsidR="003F36C8" w:rsidRPr="0080116C">
              <w:rPr>
                <w:rFonts w:ascii="Fira Sans" w:eastAsiaTheme="minorHAnsi" w:hAnsi="Fira Sans" w:cs="FiraSans,Italic"/>
                <w:bCs/>
                <w:spacing w:val="-2"/>
                <w:szCs w:val="20"/>
                <w:lang w:eastAsia="en-US"/>
              </w:rPr>
              <w:t>ali valori sono lievemente inferiori alla media di Ateneo</w:t>
            </w:r>
            <w:r w:rsidR="00BA4E21" w:rsidRPr="0080116C">
              <w:rPr>
                <w:rFonts w:ascii="Fira Sans" w:eastAsiaTheme="minorHAnsi" w:hAnsi="Fira Sans" w:cs="FiraSans,Italic"/>
                <w:bCs/>
                <w:spacing w:val="-2"/>
                <w:szCs w:val="20"/>
                <w:lang w:eastAsia="en-US"/>
              </w:rPr>
              <w:t xml:space="preserve"> con l’eccezione dell’anno 2021 dove per la prima volta il numero degli iscritti al primo anno del Cd</w:t>
            </w:r>
            <w:r w:rsidR="00584BA7" w:rsidRPr="0080116C">
              <w:rPr>
                <w:rFonts w:ascii="Fira Sans" w:eastAsiaTheme="minorHAnsi" w:hAnsi="Fira Sans" w:cs="FiraSans,Italic"/>
                <w:bCs/>
                <w:spacing w:val="-2"/>
                <w:szCs w:val="20"/>
                <w:lang w:eastAsia="en-US"/>
              </w:rPr>
              <w:t>S</w:t>
            </w:r>
            <w:r w:rsidR="00BA4E21" w:rsidRPr="0080116C">
              <w:rPr>
                <w:rFonts w:ascii="Fira Sans" w:eastAsiaTheme="minorHAnsi" w:hAnsi="Fira Sans" w:cs="FiraSans,Italic"/>
                <w:bCs/>
                <w:spacing w:val="-2"/>
                <w:szCs w:val="20"/>
                <w:lang w:eastAsia="en-US"/>
              </w:rPr>
              <w:t xml:space="preserve"> supera</w:t>
            </w:r>
            <w:r w:rsidR="003F36C8" w:rsidRPr="0080116C">
              <w:rPr>
                <w:rFonts w:ascii="Fira Sans" w:eastAsiaTheme="minorHAnsi" w:hAnsi="Fira Sans" w:cs="FiraSans,Italic"/>
                <w:bCs/>
                <w:spacing w:val="-2"/>
                <w:szCs w:val="20"/>
                <w:lang w:eastAsia="en-US"/>
              </w:rPr>
              <w:t xml:space="preserve"> </w:t>
            </w:r>
            <w:r w:rsidR="00584BA7" w:rsidRPr="0080116C">
              <w:rPr>
                <w:rFonts w:ascii="Fira Sans" w:eastAsiaTheme="minorHAnsi" w:hAnsi="Fira Sans" w:cs="FiraSans,Italic"/>
                <w:bCs/>
                <w:spacing w:val="-2"/>
                <w:szCs w:val="20"/>
                <w:lang w:eastAsia="en-US"/>
              </w:rPr>
              <w:t>il corrispondente valore medio di Ateneo (76)</w:t>
            </w:r>
            <w:r w:rsidR="0080116C" w:rsidRPr="0080116C">
              <w:rPr>
                <w:rFonts w:ascii="Fira Sans" w:eastAsiaTheme="minorHAnsi" w:hAnsi="Fira Sans" w:cs="FiraSans,Italic"/>
                <w:bCs/>
                <w:spacing w:val="-2"/>
                <w:szCs w:val="20"/>
                <w:lang w:eastAsia="en-US"/>
              </w:rPr>
              <w:t>.</w:t>
            </w:r>
          </w:p>
          <w:p w14:paraId="07649E7C" w14:textId="6AF49A7B" w:rsidR="00D55426" w:rsidRPr="00D55426" w:rsidRDefault="008C7D66" w:rsidP="009E0453">
            <w:pPr>
              <w:spacing w:line="240" w:lineRule="atLeast"/>
              <w:ind w:firstLine="576"/>
              <w:jc w:val="both"/>
              <w:rPr>
                <w:rFonts w:ascii="Fira Sans" w:eastAsia="Century" w:hAnsi="Fira Sans" w:cs="Century"/>
                <w:color w:val="0000FF"/>
                <w:szCs w:val="20"/>
              </w:rPr>
            </w:pPr>
            <w:r>
              <w:rPr>
                <w:rFonts w:ascii="Fira Sans" w:eastAsiaTheme="minorHAnsi" w:hAnsi="Fira Sans" w:cs="FiraSans,Italic"/>
                <w:bCs/>
                <w:szCs w:val="20"/>
                <w:lang w:eastAsia="en-US"/>
              </w:rPr>
              <w:t>Nel complesso</w:t>
            </w:r>
            <w:r w:rsidR="0080116C">
              <w:rPr>
                <w:rFonts w:ascii="Fira Sans" w:eastAsiaTheme="minorHAnsi" w:hAnsi="Fira Sans" w:cs="FiraSans,Italic"/>
                <w:bCs/>
                <w:szCs w:val="20"/>
                <w:lang w:eastAsia="en-US"/>
              </w:rPr>
              <w:t xml:space="preserve"> anche</w:t>
            </w:r>
            <w:r>
              <w:rPr>
                <w:rFonts w:ascii="Fira Sans" w:eastAsiaTheme="minorHAnsi" w:hAnsi="Fira Sans" w:cs="FiraSans,Italic"/>
                <w:bCs/>
                <w:szCs w:val="20"/>
                <w:lang w:eastAsia="en-US"/>
              </w:rPr>
              <w:t xml:space="preserve"> </w:t>
            </w:r>
            <w:r w:rsidR="00C76D30">
              <w:rPr>
                <w:rFonts w:ascii="Fira Sans" w:eastAsiaTheme="minorHAnsi" w:hAnsi="Fira Sans" w:cs="FiraSans,Italic"/>
                <w:bCs/>
                <w:szCs w:val="20"/>
                <w:lang w:eastAsia="en-US"/>
              </w:rPr>
              <w:t xml:space="preserve">l’indicatore </w:t>
            </w:r>
            <w:r w:rsidR="0080116C">
              <w:rPr>
                <w:rFonts w:ascii="Fira Sans" w:eastAsiaTheme="minorHAnsi" w:hAnsi="Fira Sans" w:cs="FiraSans,Italic"/>
                <w:bCs/>
                <w:szCs w:val="20"/>
                <w:lang w:eastAsia="en-US"/>
              </w:rPr>
              <w:t xml:space="preserve">iC28 </w:t>
            </w:r>
            <w:r>
              <w:rPr>
                <w:rFonts w:ascii="Fira Sans" w:eastAsiaTheme="minorHAnsi" w:hAnsi="Fira Sans" w:cs="FiraSans,Italic"/>
                <w:bCs/>
                <w:szCs w:val="20"/>
                <w:lang w:eastAsia="en-US"/>
              </w:rPr>
              <w:t xml:space="preserve">non </w:t>
            </w:r>
            <w:r w:rsidR="00C76D30">
              <w:rPr>
                <w:rFonts w:ascii="Fira Sans" w:eastAsiaTheme="minorHAnsi" w:hAnsi="Fira Sans" w:cs="FiraSans,Italic"/>
                <w:bCs/>
                <w:szCs w:val="20"/>
                <w:lang w:eastAsia="en-US"/>
              </w:rPr>
              <w:t>present</w:t>
            </w:r>
            <w:r w:rsidR="009113E7">
              <w:rPr>
                <w:rFonts w:ascii="Fira Sans" w:eastAsiaTheme="minorHAnsi" w:hAnsi="Fira Sans" w:cs="FiraSans,Italic"/>
                <w:bCs/>
                <w:szCs w:val="20"/>
                <w:lang w:eastAsia="en-US"/>
              </w:rPr>
              <w:t>a</w:t>
            </w:r>
            <w:r>
              <w:rPr>
                <w:rFonts w:ascii="Fira Sans" w:eastAsiaTheme="minorHAnsi" w:hAnsi="Fira Sans" w:cs="FiraSans,Italic"/>
                <w:bCs/>
                <w:szCs w:val="20"/>
                <w:lang w:eastAsia="en-US"/>
              </w:rPr>
              <w:t xml:space="preserve"> particolari criticità</w:t>
            </w:r>
            <w:r w:rsidR="0080116C">
              <w:rPr>
                <w:rFonts w:ascii="Fira Sans" w:eastAsiaTheme="minorHAnsi" w:hAnsi="Fira Sans" w:cs="FiraSans,Italic"/>
                <w:bCs/>
                <w:szCs w:val="20"/>
                <w:lang w:eastAsia="en-US"/>
              </w:rPr>
              <w:t xml:space="preserve"> richiedendo comunque un sempre attento monitoraggio da parte del</w:t>
            </w:r>
            <w:r>
              <w:rPr>
                <w:rFonts w:ascii="Fira Sans" w:eastAsiaTheme="minorHAnsi" w:hAnsi="Fira Sans" w:cs="FiraSans,Italic"/>
                <w:bCs/>
                <w:szCs w:val="20"/>
                <w:lang w:eastAsia="en-US"/>
              </w:rPr>
              <w:t xml:space="preserve"> CCS </w:t>
            </w:r>
            <w:r w:rsidR="0080116C">
              <w:rPr>
                <w:rFonts w:ascii="Fira Sans" w:eastAsiaTheme="minorHAnsi" w:hAnsi="Fira Sans" w:cs="FiraSans,Italic"/>
                <w:bCs/>
                <w:szCs w:val="20"/>
                <w:lang w:eastAsia="en-US"/>
              </w:rPr>
              <w:t>EMMP</w:t>
            </w:r>
            <w:r>
              <w:rPr>
                <w:rFonts w:ascii="Fira Sans" w:eastAsiaTheme="minorHAnsi" w:hAnsi="Fira Sans" w:cs="FiraSans,Italic"/>
                <w:bCs/>
                <w:szCs w:val="20"/>
                <w:lang w:eastAsia="en-US"/>
              </w:rPr>
              <w:t>.</w:t>
            </w:r>
          </w:p>
        </w:tc>
      </w:tr>
    </w:tbl>
    <w:p w14:paraId="1432CC94" w14:textId="538C3F83" w:rsidR="001E4C17" w:rsidRDefault="001E4C17" w:rsidP="001E4C17">
      <w:pPr>
        <w:pStyle w:val="Normale1"/>
        <w:rPr>
          <w:rFonts w:ascii="Fira Sans" w:hAnsi="Fira Sans"/>
          <w:sz w:val="18"/>
          <w:szCs w:val="18"/>
        </w:rPr>
      </w:pPr>
    </w:p>
    <w:p w14:paraId="7BDEF8BE" w14:textId="5FA2C2FA" w:rsidR="001E4C17" w:rsidRPr="00F11B95" w:rsidRDefault="001E4C17" w:rsidP="00F11B95">
      <w:pPr>
        <w:spacing w:after="160" w:line="259" w:lineRule="auto"/>
        <w:rPr>
          <w:rFonts w:ascii="Fira Sans" w:eastAsia="Times New Roman" w:hAnsi="Fira Sans" w:cs="Times New Roman"/>
          <w:kern w:val="2"/>
          <w:sz w:val="18"/>
          <w:szCs w:val="18"/>
          <w:lang w:eastAsia="zh-CN" w:bidi="hi-IN"/>
        </w:rPr>
      </w:pPr>
    </w:p>
    <w:sectPr w:rsidR="001E4C17" w:rsidRPr="00F11B95" w:rsidSect="008856BC">
      <w:footerReference w:type="default" r:id="rId8"/>
      <w:footerReference w:type="first" r:id="rId9"/>
      <w:pgSz w:w="11906" w:h="16838"/>
      <w:pgMar w:top="1134" w:right="1247" w:bottom="1134" w:left="1247" w:header="567" w:footer="567" w:gutter="0"/>
      <w:pgNumType w:start="1"/>
      <w:cols w:space="720"/>
      <w:formProt w:val="0"/>
      <w:titlePg/>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7225" w14:textId="77777777" w:rsidR="00674B5D" w:rsidRDefault="00674B5D" w:rsidP="008856BC">
      <w:r>
        <w:separator/>
      </w:r>
    </w:p>
  </w:endnote>
  <w:endnote w:type="continuationSeparator" w:id="0">
    <w:p w14:paraId="6B6DDB69" w14:textId="77777777" w:rsidR="00674B5D" w:rsidRDefault="00674B5D" w:rsidP="0088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FiraSans,Italic">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FiraSans,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3544"/>
      <w:docPartObj>
        <w:docPartGallery w:val="Page Numbers (Bottom of Page)"/>
        <w:docPartUnique/>
      </w:docPartObj>
    </w:sdtPr>
    <w:sdtContent>
      <w:p w14:paraId="111E30A5" w14:textId="4B985B6D" w:rsidR="00593835" w:rsidRDefault="00593835">
        <w:pPr>
          <w:pStyle w:val="Pidipagina"/>
          <w:jc w:val="center"/>
        </w:pPr>
        <w:r>
          <w:fldChar w:fldCharType="begin"/>
        </w:r>
        <w:r>
          <w:instrText>PAGE   \* MERGEFORMAT</w:instrText>
        </w:r>
        <w:r>
          <w:fldChar w:fldCharType="separate"/>
        </w:r>
        <w:r w:rsidR="008107D4">
          <w:rPr>
            <w:noProof/>
          </w:rPr>
          <w:t>6</w:t>
        </w:r>
        <w:r>
          <w:fldChar w:fldCharType="end"/>
        </w:r>
      </w:p>
    </w:sdtContent>
  </w:sdt>
  <w:p w14:paraId="3B4F9313" w14:textId="77777777" w:rsidR="00593835" w:rsidRDefault="005938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39953"/>
      <w:docPartObj>
        <w:docPartGallery w:val="Page Numbers (Bottom of Page)"/>
        <w:docPartUnique/>
      </w:docPartObj>
    </w:sdtPr>
    <w:sdtEndPr>
      <w:rPr>
        <w:sz w:val="24"/>
        <w:szCs w:val="24"/>
      </w:rPr>
    </w:sdtEndPr>
    <w:sdtContent>
      <w:p w14:paraId="69F9457F" w14:textId="69C6A7A0" w:rsidR="00593835" w:rsidRPr="008856BC" w:rsidRDefault="00593835">
        <w:pPr>
          <w:pStyle w:val="Pidipagina"/>
          <w:jc w:val="center"/>
          <w:rPr>
            <w:sz w:val="24"/>
            <w:szCs w:val="24"/>
          </w:rPr>
        </w:pPr>
        <w:r w:rsidRPr="008856BC">
          <w:rPr>
            <w:sz w:val="24"/>
            <w:szCs w:val="24"/>
          </w:rPr>
          <w:fldChar w:fldCharType="begin"/>
        </w:r>
        <w:r w:rsidRPr="008856BC">
          <w:rPr>
            <w:sz w:val="24"/>
            <w:szCs w:val="24"/>
          </w:rPr>
          <w:instrText>PAGE   \* MERGEFORMAT</w:instrText>
        </w:r>
        <w:r w:rsidRPr="008856BC">
          <w:rPr>
            <w:sz w:val="24"/>
            <w:szCs w:val="24"/>
          </w:rPr>
          <w:fldChar w:fldCharType="separate"/>
        </w:r>
        <w:r w:rsidR="008C7D66">
          <w:rPr>
            <w:noProof/>
            <w:sz w:val="24"/>
            <w:szCs w:val="24"/>
          </w:rPr>
          <w:t>1</w:t>
        </w:r>
        <w:r w:rsidRPr="008856BC">
          <w:rPr>
            <w:sz w:val="24"/>
            <w:szCs w:val="24"/>
          </w:rPr>
          <w:fldChar w:fldCharType="end"/>
        </w:r>
      </w:p>
    </w:sdtContent>
  </w:sdt>
  <w:p w14:paraId="7425D214" w14:textId="77777777" w:rsidR="00593835" w:rsidRDefault="005938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4A81" w14:textId="77777777" w:rsidR="00674B5D" w:rsidRDefault="00674B5D" w:rsidP="008856BC">
      <w:r>
        <w:separator/>
      </w:r>
    </w:p>
  </w:footnote>
  <w:footnote w:type="continuationSeparator" w:id="0">
    <w:p w14:paraId="629F0B19" w14:textId="77777777" w:rsidR="00674B5D" w:rsidRDefault="00674B5D" w:rsidP="0088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D1E"/>
    <w:multiLevelType w:val="hybridMultilevel"/>
    <w:tmpl w:val="DE9CC70E"/>
    <w:lvl w:ilvl="0" w:tplc="8B689A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AA7857"/>
    <w:multiLevelType w:val="hybridMultilevel"/>
    <w:tmpl w:val="71DA397A"/>
    <w:lvl w:ilvl="0" w:tplc="F98AA598">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F2571F"/>
    <w:multiLevelType w:val="hybridMultilevel"/>
    <w:tmpl w:val="300A4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87521B"/>
    <w:multiLevelType w:val="hybridMultilevel"/>
    <w:tmpl w:val="F1D04C7A"/>
    <w:lvl w:ilvl="0" w:tplc="55841B0C">
      <w:start w:val="1"/>
      <w:numFmt w:val="lowerLetter"/>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C845C5"/>
    <w:multiLevelType w:val="hybridMultilevel"/>
    <w:tmpl w:val="7D1AB920"/>
    <w:lvl w:ilvl="0" w:tplc="7100A156">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726476"/>
    <w:multiLevelType w:val="hybridMultilevel"/>
    <w:tmpl w:val="BD2E313E"/>
    <w:lvl w:ilvl="0" w:tplc="6E96D34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D945DA"/>
    <w:multiLevelType w:val="hybridMultilevel"/>
    <w:tmpl w:val="AB9AC2E6"/>
    <w:lvl w:ilvl="0" w:tplc="E06E69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71E68F9"/>
    <w:multiLevelType w:val="hybridMultilevel"/>
    <w:tmpl w:val="A21ECD8A"/>
    <w:lvl w:ilvl="0" w:tplc="A20E73C4">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7B3E81"/>
    <w:multiLevelType w:val="hybridMultilevel"/>
    <w:tmpl w:val="B6DA5806"/>
    <w:lvl w:ilvl="0" w:tplc="79D44D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C80147"/>
    <w:multiLevelType w:val="hybridMultilevel"/>
    <w:tmpl w:val="D988BB54"/>
    <w:lvl w:ilvl="0" w:tplc="EFCE7BFC">
      <w:numFmt w:val="bullet"/>
      <w:lvlText w:val="-"/>
      <w:lvlJc w:val="left"/>
      <w:pPr>
        <w:ind w:left="720" w:hanging="360"/>
      </w:pPr>
      <w:rPr>
        <w:rFonts w:ascii="Fira Sans" w:eastAsiaTheme="minorEastAsia" w:hAnsi="Fira San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DA3100"/>
    <w:multiLevelType w:val="hybridMultilevel"/>
    <w:tmpl w:val="6EAAF0A8"/>
    <w:lvl w:ilvl="0" w:tplc="F6965C0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4F791E"/>
    <w:multiLevelType w:val="hybridMultilevel"/>
    <w:tmpl w:val="B09602BC"/>
    <w:lvl w:ilvl="0" w:tplc="F98AA598">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227377"/>
    <w:multiLevelType w:val="hybridMultilevel"/>
    <w:tmpl w:val="B94AF03C"/>
    <w:lvl w:ilvl="0" w:tplc="07104F1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810D36"/>
    <w:multiLevelType w:val="hybridMultilevel"/>
    <w:tmpl w:val="48486B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3F63ED"/>
    <w:multiLevelType w:val="hybridMultilevel"/>
    <w:tmpl w:val="2A22C490"/>
    <w:lvl w:ilvl="0" w:tplc="829E73CE">
      <w:start w:val="1"/>
      <w:numFmt w:val="lowerLetter"/>
      <w:lvlText w:val="%1)"/>
      <w:lvlJc w:val="left"/>
      <w:pPr>
        <w:ind w:left="720" w:hanging="360"/>
      </w:pPr>
      <w:rPr>
        <w:rFonts w:hint="default"/>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747535"/>
    <w:multiLevelType w:val="hybridMultilevel"/>
    <w:tmpl w:val="3FC856A4"/>
    <w:lvl w:ilvl="0" w:tplc="5A58707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4E21EF"/>
    <w:multiLevelType w:val="hybridMultilevel"/>
    <w:tmpl w:val="AA727322"/>
    <w:lvl w:ilvl="0" w:tplc="6DD62252">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1D4A88"/>
    <w:multiLevelType w:val="hybridMultilevel"/>
    <w:tmpl w:val="9D88D9BA"/>
    <w:lvl w:ilvl="0" w:tplc="7618F2C2">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E92F34"/>
    <w:multiLevelType w:val="hybridMultilevel"/>
    <w:tmpl w:val="269CA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1E0904"/>
    <w:multiLevelType w:val="hybridMultilevel"/>
    <w:tmpl w:val="6164D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4B2823"/>
    <w:multiLevelType w:val="hybridMultilevel"/>
    <w:tmpl w:val="332EB486"/>
    <w:lvl w:ilvl="0" w:tplc="04100017">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AC15D3"/>
    <w:multiLevelType w:val="hybridMultilevel"/>
    <w:tmpl w:val="E47859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F72BA3"/>
    <w:multiLevelType w:val="hybridMultilevel"/>
    <w:tmpl w:val="AEF438B2"/>
    <w:lvl w:ilvl="0" w:tplc="6FF81CE6">
      <w:start w:val="1"/>
      <w:numFmt w:val="decimal"/>
      <w:lvlText w:val="%1)"/>
      <w:lvlJc w:val="left"/>
      <w:pPr>
        <w:ind w:left="8015"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0800E5"/>
    <w:multiLevelType w:val="hybridMultilevel"/>
    <w:tmpl w:val="B09602B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333FCE"/>
    <w:multiLevelType w:val="hybridMultilevel"/>
    <w:tmpl w:val="075E190A"/>
    <w:lvl w:ilvl="0" w:tplc="C79C522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C42E11"/>
    <w:multiLevelType w:val="hybridMultilevel"/>
    <w:tmpl w:val="1BB8C8B2"/>
    <w:lvl w:ilvl="0" w:tplc="ACA49E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8509679">
    <w:abstractNumId w:val="22"/>
  </w:num>
  <w:num w:numId="2" w16cid:durableId="334649293">
    <w:abstractNumId w:val="5"/>
  </w:num>
  <w:num w:numId="3" w16cid:durableId="2008897773">
    <w:abstractNumId w:val="0"/>
  </w:num>
  <w:num w:numId="4" w16cid:durableId="315109575">
    <w:abstractNumId w:val="6"/>
  </w:num>
  <w:num w:numId="5" w16cid:durableId="2098400089">
    <w:abstractNumId w:val="21"/>
  </w:num>
  <w:num w:numId="6" w16cid:durableId="885024194">
    <w:abstractNumId w:val="16"/>
  </w:num>
  <w:num w:numId="7" w16cid:durableId="1206598917">
    <w:abstractNumId w:val="15"/>
  </w:num>
  <w:num w:numId="8" w16cid:durableId="735782454">
    <w:abstractNumId w:val="4"/>
  </w:num>
  <w:num w:numId="9" w16cid:durableId="508108332">
    <w:abstractNumId w:val="13"/>
  </w:num>
  <w:num w:numId="10" w16cid:durableId="2083285523">
    <w:abstractNumId w:val="10"/>
  </w:num>
  <w:num w:numId="11" w16cid:durableId="1634599894">
    <w:abstractNumId w:val="14"/>
  </w:num>
  <w:num w:numId="12" w16cid:durableId="1603993939">
    <w:abstractNumId w:val="19"/>
  </w:num>
  <w:num w:numId="13" w16cid:durableId="1483158196">
    <w:abstractNumId w:val="17"/>
  </w:num>
  <w:num w:numId="14" w16cid:durableId="1084759677">
    <w:abstractNumId w:val="18"/>
  </w:num>
  <w:num w:numId="15" w16cid:durableId="1789617455">
    <w:abstractNumId w:val="9"/>
  </w:num>
  <w:num w:numId="16" w16cid:durableId="1762531769">
    <w:abstractNumId w:val="2"/>
  </w:num>
  <w:num w:numId="17" w16cid:durableId="2019693145">
    <w:abstractNumId w:val="11"/>
  </w:num>
  <w:num w:numId="18" w16cid:durableId="1053234173">
    <w:abstractNumId w:val="1"/>
  </w:num>
  <w:num w:numId="19" w16cid:durableId="596868288">
    <w:abstractNumId w:val="20"/>
  </w:num>
  <w:num w:numId="20" w16cid:durableId="867373255">
    <w:abstractNumId w:val="23"/>
  </w:num>
  <w:num w:numId="21" w16cid:durableId="616254031">
    <w:abstractNumId w:val="25"/>
  </w:num>
  <w:num w:numId="22" w16cid:durableId="657923784">
    <w:abstractNumId w:val="8"/>
  </w:num>
  <w:num w:numId="23" w16cid:durableId="1146238287">
    <w:abstractNumId w:val="7"/>
  </w:num>
  <w:num w:numId="24" w16cid:durableId="274216286">
    <w:abstractNumId w:val="12"/>
  </w:num>
  <w:num w:numId="25" w16cid:durableId="607011788">
    <w:abstractNumId w:val="24"/>
  </w:num>
  <w:num w:numId="26" w16cid:durableId="1791320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C17"/>
    <w:rsid w:val="00000A45"/>
    <w:rsid w:val="000042AA"/>
    <w:rsid w:val="00004BBD"/>
    <w:rsid w:val="00013924"/>
    <w:rsid w:val="00016832"/>
    <w:rsid w:val="00020906"/>
    <w:rsid w:val="00026A27"/>
    <w:rsid w:val="000309AE"/>
    <w:rsid w:val="00040026"/>
    <w:rsid w:val="000421F6"/>
    <w:rsid w:val="000460D0"/>
    <w:rsid w:val="00046677"/>
    <w:rsid w:val="0005655B"/>
    <w:rsid w:val="0006109A"/>
    <w:rsid w:val="0006194C"/>
    <w:rsid w:val="0006444B"/>
    <w:rsid w:val="00076E70"/>
    <w:rsid w:val="000778DA"/>
    <w:rsid w:val="00080AD0"/>
    <w:rsid w:val="00083393"/>
    <w:rsid w:val="00083AB7"/>
    <w:rsid w:val="00095DF6"/>
    <w:rsid w:val="000A3AC0"/>
    <w:rsid w:val="000B0040"/>
    <w:rsid w:val="000B0AE8"/>
    <w:rsid w:val="000B388B"/>
    <w:rsid w:val="000B43A0"/>
    <w:rsid w:val="000B61EB"/>
    <w:rsid w:val="000C44E5"/>
    <w:rsid w:val="000D63C1"/>
    <w:rsid w:val="000D7388"/>
    <w:rsid w:val="000E3B62"/>
    <w:rsid w:val="000E3B77"/>
    <w:rsid w:val="000E5BFD"/>
    <w:rsid w:val="000F060A"/>
    <w:rsid w:val="00101510"/>
    <w:rsid w:val="0011098C"/>
    <w:rsid w:val="00110C08"/>
    <w:rsid w:val="001139DE"/>
    <w:rsid w:val="00113A4B"/>
    <w:rsid w:val="00117CE4"/>
    <w:rsid w:val="00136444"/>
    <w:rsid w:val="00140989"/>
    <w:rsid w:val="00140A35"/>
    <w:rsid w:val="00141B1A"/>
    <w:rsid w:val="00150355"/>
    <w:rsid w:val="00172071"/>
    <w:rsid w:val="00175402"/>
    <w:rsid w:val="00183EB5"/>
    <w:rsid w:val="00184FE0"/>
    <w:rsid w:val="001866DB"/>
    <w:rsid w:val="001876E5"/>
    <w:rsid w:val="001914DF"/>
    <w:rsid w:val="001B1077"/>
    <w:rsid w:val="001C377D"/>
    <w:rsid w:val="001D1E97"/>
    <w:rsid w:val="001D5CEE"/>
    <w:rsid w:val="001E4C17"/>
    <w:rsid w:val="0020070D"/>
    <w:rsid w:val="002017D4"/>
    <w:rsid w:val="00202832"/>
    <w:rsid w:val="00203E6F"/>
    <w:rsid w:val="00204812"/>
    <w:rsid w:val="0022474C"/>
    <w:rsid w:val="00225927"/>
    <w:rsid w:val="0022670A"/>
    <w:rsid w:val="0023622F"/>
    <w:rsid w:val="002438C2"/>
    <w:rsid w:val="002475E1"/>
    <w:rsid w:val="00250720"/>
    <w:rsid w:val="002526EE"/>
    <w:rsid w:val="00255DCE"/>
    <w:rsid w:val="002758B3"/>
    <w:rsid w:val="00276EBF"/>
    <w:rsid w:val="00283FF0"/>
    <w:rsid w:val="0029094B"/>
    <w:rsid w:val="00293F8E"/>
    <w:rsid w:val="00295FC5"/>
    <w:rsid w:val="002A1D23"/>
    <w:rsid w:val="002A500F"/>
    <w:rsid w:val="002B0DC0"/>
    <w:rsid w:val="002B2E94"/>
    <w:rsid w:val="002B3733"/>
    <w:rsid w:val="002B729E"/>
    <w:rsid w:val="002C7C05"/>
    <w:rsid w:val="002D01F0"/>
    <w:rsid w:val="002D5DAE"/>
    <w:rsid w:val="002E7CD4"/>
    <w:rsid w:val="002F2853"/>
    <w:rsid w:val="002F44D2"/>
    <w:rsid w:val="0031183A"/>
    <w:rsid w:val="00311986"/>
    <w:rsid w:val="00313AFC"/>
    <w:rsid w:val="00315EA9"/>
    <w:rsid w:val="00321398"/>
    <w:rsid w:val="00326A8D"/>
    <w:rsid w:val="00337857"/>
    <w:rsid w:val="0034036F"/>
    <w:rsid w:val="0034541B"/>
    <w:rsid w:val="00354B0F"/>
    <w:rsid w:val="00356D73"/>
    <w:rsid w:val="0036076D"/>
    <w:rsid w:val="00370CE9"/>
    <w:rsid w:val="00372966"/>
    <w:rsid w:val="00396142"/>
    <w:rsid w:val="003A5C86"/>
    <w:rsid w:val="003B2DE8"/>
    <w:rsid w:val="003C0979"/>
    <w:rsid w:val="003C6CD2"/>
    <w:rsid w:val="003C79E3"/>
    <w:rsid w:val="003D2C78"/>
    <w:rsid w:val="003D439D"/>
    <w:rsid w:val="003D483E"/>
    <w:rsid w:val="003F09A2"/>
    <w:rsid w:val="003F1F88"/>
    <w:rsid w:val="003F36C8"/>
    <w:rsid w:val="003F3800"/>
    <w:rsid w:val="0040062E"/>
    <w:rsid w:val="004017EC"/>
    <w:rsid w:val="00403752"/>
    <w:rsid w:val="004062A3"/>
    <w:rsid w:val="00406366"/>
    <w:rsid w:val="00413820"/>
    <w:rsid w:val="004340C5"/>
    <w:rsid w:val="00437D41"/>
    <w:rsid w:val="0044142A"/>
    <w:rsid w:val="004445F9"/>
    <w:rsid w:val="0044742A"/>
    <w:rsid w:val="004479A8"/>
    <w:rsid w:val="00453538"/>
    <w:rsid w:val="00461EEE"/>
    <w:rsid w:val="00462EEC"/>
    <w:rsid w:val="0046502E"/>
    <w:rsid w:val="00465696"/>
    <w:rsid w:val="00466F10"/>
    <w:rsid w:val="004716CE"/>
    <w:rsid w:val="00474D11"/>
    <w:rsid w:val="00480FD3"/>
    <w:rsid w:val="00492136"/>
    <w:rsid w:val="00494581"/>
    <w:rsid w:val="004A45AD"/>
    <w:rsid w:val="004B0534"/>
    <w:rsid w:val="004C0A59"/>
    <w:rsid w:val="004C33B5"/>
    <w:rsid w:val="004C6C11"/>
    <w:rsid w:val="004C7742"/>
    <w:rsid w:val="004D7BC9"/>
    <w:rsid w:val="004E1A50"/>
    <w:rsid w:val="004E1F0E"/>
    <w:rsid w:val="004E2EC9"/>
    <w:rsid w:val="004F1695"/>
    <w:rsid w:val="004F2144"/>
    <w:rsid w:val="004F508B"/>
    <w:rsid w:val="00521316"/>
    <w:rsid w:val="00523940"/>
    <w:rsid w:val="00533D6F"/>
    <w:rsid w:val="005523F9"/>
    <w:rsid w:val="00553FD3"/>
    <w:rsid w:val="00563BD9"/>
    <w:rsid w:val="00583A60"/>
    <w:rsid w:val="00583CFF"/>
    <w:rsid w:val="00584BA7"/>
    <w:rsid w:val="00593835"/>
    <w:rsid w:val="005A6204"/>
    <w:rsid w:val="005D6AA3"/>
    <w:rsid w:val="005E216B"/>
    <w:rsid w:val="005E6B67"/>
    <w:rsid w:val="005E6C12"/>
    <w:rsid w:val="005F5155"/>
    <w:rsid w:val="00603C19"/>
    <w:rsid w:val="00624A9E"/>
    <w:rsid w:val="00625CC6"/>
    <w:rsid w:val="00626973"/>
    <w:rsid w:val="00647905"/>
    <w:rsid w:val="00665BBD"/>
    <w:rsid w:val="006668EF"/>
    <w:rsid w:val="0067037F"/>
    <w:rsid w:val="00674B5D"/>
    <w:rsid w:val="00674E19"/>
    <w:rsid w:val="00675C4C"/>
    <w:rsid w:val="00680F7F"/>
    <w:rsid w:val="006846E0"/>
    <w:rsid w:val="006849A1"/>
    <w:rsid w:val="00687AE6"/>
    <w:rsid w:val="0069117A"/>
    <w:rsid w:val="006A1B65"/>
    <w:rsid w:val="006A7A3A"/>
    <w:rsid w:val="006B235E"/>
    <w:rsid w:val="006B4D57"/>
    <w:rsid w:val="006C7E91"/>
    <w:rsid w:val="006D4622"/>
    <w:rsid w:val="006D6F8A"/>
    <w:rsid w:val="006E2F35"/>
    <w:rsid w:val="006E483C"/>
    <w:rsid w:val="006F154E"/>
    <w:rsid w:val="006F45C9"/>
    <w:rsid w:val="007008F0"/>
    <w:rsid w:val="007024C0"/>
    <w:rsid w:val="00713963"/>
    <w:rsid w:val="00714D6B"/>
    <w:rsid w:val="00715B00"/>
    <w:rsid w:val="00721543"/>
    <w:rsid w:val="00723786"/>
    <w:rsid w:val="007308A4"/>
    <w:rsid w:val="007335B2"/>
    <w:rsid w:val="00740F8F"/>
    <w:rsid w:val="00751F01"/>
    <w:rsid w:val="00761371"/>
    <w:rsid w:val="007641AE"/>
    <w:rsid w:val="00764840"/>
    <w:rsid w:val="007723F9"/>
    <w:rsid w:val="00784072"/>
    <w:rsid w:val="00784932"/>
    <w:rsid w:val="00786A26"/>
    <w:rsid w:val="00790982"/>
    <w:rsid w:val="007A0238"/>
    <w:rsid w:val="007B17C4"/>
    <w:rsid w:val="007B33A4"/>
    <w:rsid w:val="007B52D4"/>
    <w:rsid w:val="007C0E6C"/>
    <w:rsid w:val="007C2F4C"/>
    <w:rsid w:val="007C473D"/>
    <w:rsid w:val="007D491F"/>
    <w:rsid w:val="007E2D86"/>
    <w:rsid w:val="007E785C"/>
    <w:rsid w:val="0080116C"/>
    <w:rsid w:val="0080324D"/>
    <w:rsid w:val="00805B1B"/>
    <w:rsid w:val="008107D4"/>
    <w:rsid w:val="008136D4"/>
    <w:rsid w:val="00825B9D"/>
    <w:rsid w:val="008321B5"/>
    <w:rsid w:val="00832AEF"/>
    <w:rsid w:val="00834694"/>
    <w:rsid w:val="00835EAA"/>
    <w:rsid w:val="00842AD0"/>
    <w:rsid w:val="00845AED"/>
    <w:rsid w:val="0084604F"/>
    <w:rsid w:val="00875052"/>
    <w:rsid w:val="008856BC"/>
    <w:rsid w:val="00896B9F"/>
    <w:rsid w:val="00897DEF"/>
    <w:rsid w:val="008B1755"/>
    <w:rsid w:val="008B704D"/>
    <w:rsid w:val="008C7D66"/>
    <w:rsid w:val="008D63B2"/>
    <w:rsid w:val="008E0BB5"/>
    <w:rsid w:val="008E2F24"/>
    <w:rsid w:val="008E5104"/>
    <w:rsid w:val="008F5A9D"/>
    <w:rsid w:val="008F657F"/>
    <w:rsid w:val="009039DC"/>
    <w:rsid w:val="009113E7"/>
    <w:rsid w:val="009128E6"/>
    <w:rsid w:val="00915C7F"/>
    <w:rsid w:val="0091750D"/>
    <w:rsid w:val="00922010"/>
    <w:rsid w:val="009255A0"/>
    <w:rsid w:val="009334B4"/>
    <w:rsid w:val="009340CE"/>
    <w:rsid w:val="009464C2"/>
    <w:rsid w:val="00961279"/>
    <w:rsid w:val="009612DE"/>
    <w:rsid w:val="009629AD"/>
    <w:rsid w:val="00967228"/>
    <w:rsid w:val="009710B5"/>
    <w:rsid w:val="00985B18"/>
    <w:rsid w:val="00987450"/>
    <w:rsid w:val="00990F2F"/>
    <w:rsid w:val="009A7C5A"/>
    <w:rsid w:val="009B52E6"/>
    <w:rsid w:val="009C4968"/>
    <w:rsid w:val="009C72B4"/>
    <w:rsid w:val="009D13A8"/>
    <w:rsid w:val="009D592E"/>
    <w:rsid w:val="009E0453"/>
    <w:rsid w:val="009E29B8"/>
    <w:rsid w:val="009E53DC"/>
    <w:rsid w:val="009E7DAB"/>
    <w:rsid w:val="009F1C55"/>
    <w:rsid w:val="009F77B9"/>
    <w:rsid w:val="00A0572D"/>
    <w:rsid w:val="00A219E3"/>
    <w:rsid w:val="00A221B7"/>
    <w:rsid w:val="00A310D0"/>
    <w:rsid w:val="00A32D65"/>
    <w:rsid w:val="00A32D9A"/>
    <w:rsid w:val="00A706F8"/>
    <w:rsid w:val="00A73031"/>
    <w:rsid w:val="00A76936"/>
    <w:rsid w:val="00A86331"/>
    <w:rsid w:val="00A86FFC"/>
    <w:rsid w:val="00A90DC0"/>
    <w:rsid w:val="00A97981"/>
    <w:rsid w:val="00AA0D86"/>
    <w:rsid w:val="00AC02F8"/>
    <w:rsid w:val="00AC0FE1"/>
    <w:rsid w:val="00AC31AD"/>
    <w:rsid w:val="00AC6375"/>
    <w:rsid w:val="00AE22B7"/>
    <w:rsid w:val="00AF2AE2"/>
    <w:rsid w:val="00AF7AD8"/>
    <w:rsid w:val="00B00DA1"/>
    <w:rsid w:val="00B00FA5"/>
    <w:rsid w:val="00B0252A"/>
    <w:rsid w:val="00B038CD"/>
    <w:rsid w:val="00B047E9"/>
    <w:rsid w:val="00B058CB"/>
    <w:rsid w:val="00B102CA"/>
    <w:rsid w:val="00B13EF6"/>
    <w:rsid w:val="00B2476F"/>
    <w:rsid w:val="00B2711C"/>
    <w:rsid w:val="00B31D3E"/>
    <w:rsid w:val="00B32125"/>
    <w:rsid w:val="00B41E5D"/>
    <w:rsid w:val="00B473E0"/>
    <w:rsid w:val="00B478AA"/>
    <w:rsid w:val="00B52D46"/>
    <w:rsid w:val="00B5429C"/>
    <w:rsid w:val="00B60996"/>
    <w:rsid w:val="00B62BDF"/>
    <w:rsid w:val="00B65730"/>
    <w:rsid w:val="00B705B6"/>
    <w:rsid w:val="00B70C3F"/>
    <w:rsid w:val="00B90C00"/>
    <w:rsid w:val="00B929A7"/>
    <w:rsid w:val="00B95344"/>
    <w:rsid w:val="00B96DE4"/>
    <w:rsid w:val="00BA4E21"/>
    <w:rsid w:val="00BA7408"/>
    <w:rsid w:val="00BB41DD"/>
    <w:rsid w:val="00BB45AF"/>
    <w:rsid w:val="00BB6128"/>
    <w:rsid w:val="00BB7846"/>
    <w:rsid w:val="00BC49D2"/>
    <w:rsid w:val="00BC70BF"/>
    <w:rsid w:val="00BD0BCC"/>
    <w:rsid w:val="00BE7294"/>
    <w:rsid w:val="00BF1D6F"/>
    <w:rsid w:val="00BF2BA1"/>
    <w:rsid w:val="00BF4CEB"/>
    <w:rsid w:val="00BF6660"/>
    <w:rsid w:val="00C00FC6"/>
    <w:rsid w:val="00C11E3D"/>
    <w:rsid w:val="00C13218"/>
    <w:rsid w:val="00C133F3"/>
    <w:rsid w:val="00C16A02"/>
    <w:rsid w:val="00C24D4B"/>
    <w:rsid w:val="00C257D3"/>
    <w:rsid w:val="00C2642E"/>
    <w:rsid w:val="00C27AC0"/>
    <w:rsid w:val="00C30B01"/>
    <w:rsid w:val="00C30B69"/>
    <w:rsid w:val="00C34512"/>
    <w:rsid w:val="00C5678F"/>
    <w:rsid w:val="00C606C9"/>
    <w:rsid w:val="00C616D2"/>
    <w:rsid w:val="00C675CB"/>
    <w:rsid w:val="00C70C62"/>
    <w:rsid w:val="00C76D30"/>
    <w:rsid w:val="00C77465"/>
    <w:rsid w:val="00C80CF1"/>
    <w:rsid w:val="00C83505"/>
    <w:rsid w:val="00C906BC"/>
    <w:rsid w:val="00C934D5"/>
    <w:rsid w:val="00C951AC"/>
    <w:rsid w:val="00CB0C1F"/>
    <w:rsid w:val="00CB2D2F"/>
    <w:rsid w:val="00CC55FB"/>
    <w:rsid w:val="00CC79C4"/>
    <w:rsid w:val="00CD43B6"/>
    <w:rsid w:val="00CD56A8"/>
    <w:rsid w:val="00D07E85"/>
    <w:rsid w:val="00D07EC3"/>
    <w:rsid w:val="00D124BC"/>
    <w:rsid w:val="00D125DC"/>
    <w:rsid w:val="00D23B31"/>
    <w:rsid w:val="00D35383"/>
    <w:rsid w:val="00D43FE8"/>
    <w:rsid w:val="00D517C3"/>
    <w:rsid w:val="00D55426"/>
    <w:rsid w:val="00D565C0"/>
    <w:rsid w:val="00D5715C"/>
    <w:rsid w:val="00D60934"/>
    <w:rsid w:val="00D758C6"/>
    <w:rsid w:val="00D77DC2"/>
    <w:rsid w:val="00D841B5"/>
    <w:rsid w:val="00D84A08"/>
    <w:rsid w:val="00D84DF6"/>
    <w:rsid w:val="00D85331"/>
    <w:rsid w:val="00D86402"/>
    <w:rsid w:val="00D9676E"/>
    <w:rsid w:val="00D97375"/>
    <w:rsid w:val="00D97E86"/>
    <w:rsid w:val="00DB2707"/>
    <w:rsid w:val="00DB7384"/>
    <w:rsid w:val="00DD3E70"/>
    <w:rsid w:val="00DD4BB1"/>
    <w:rsid w:val="00DD5234"/>
    <w:rsid w:val="00DD61AD"/>
    <w:rsid w:val="00DE1685"/>
    <w:rsid w:val="00DE4A66"/>
    <w:rsid w:val="00DF1400"/>
    <w:rsid w:val="00DF35AB"/>
    <w:rsid w:val="00DF6280"/>
    <w:rsid w:val="00E12066"/>
    <w:rsid w:val="00E17449"/>
    <w:rsid w:val="00E305B8"/>
    <w:rsid w:val="00E3276C"/>
    <w:rsid w:val="00E50D67"/>
    <w:rsid w:val="00E51AFD"/>
    <w:rsid w:val="00E5746A"/>
    <w:rsid w:val="00E617ED"/>
    <w:rsid w:val="00E61D5E"/>
    <w:rsid w:val="00E62F1B"/>
    <w:rsid w:val="00E63F2C"/>
    <w:rsid w:val="00E67421"/>
    <w:rsid w:val="00E71262"/>
    <w:rsid w:val="00E77BE0"/>
    <w:rsid w:val="00E905B4"/>
    <w:rsid w:val="00EA27CF"/>
    <w:rsid w:val="00EA331A"/>
    <w:rsid w:val="00EA6B51"/>
    <w:rsid w:val="00EA7FE2"/>
    <w:rsid w:val="00EB122F"/>
    <w:rsid w:val="00EB18D7"/>
    <w:rsid w:val="00EB4FF2"/>
    <w:rsid w:val="00EB7413"/>
    <w:rsid w:val="00EC781D"/>
    <w:rsid w:val="00EC7AB2"/>
    <w:rsid w:val="00ED2B7C"/>
    <w:rsid w:val="00EE3263"/>
    <w:rsid w:val="00EF4535"/>
    <w:rsid w:val="00F01DF9"/>
    <w:rsid w:val="00F1157B"/>
    <w:rsid w:val="00F11B95"/>
    <w:rsid w:val="00F215E9"/>
    <w:rsid w:val="00F22BC5"/>
    <w:rsid w:val="00F23239"/>
    <w:rsid w:val="00F2576E"/>
    <w:rsid w:val="00F27127"/>
    <w:rsid w:val="00F31701"/>
    <w:rsid w:val="00F32397"/>
    <w:rsid w:val="00F34AB4"/>
    <w:rsid w:val="00F5069F"/>
    <w:rsid w:val="00F64442"/>
    <w:rsid w:val="00F651F3"/>
    <w:rsid w:val="00F76BD4"/>
    <w:rsid w:val="00F8082A"/>
    <w:rsid w:val="00F8126E"/>
    <w:rsid w:val="00F86349"/>
    <w:rsid w:val="00F901C5"/>
    <w:rsid w:val="00F91839"/>
    <w:rsid w:val="00F94285"/>
    <w:rsid w:val="00F94788"/>
    <w:rsid w:val="00FC1836"/>
    <w:rsid w:val="00FC4D37"/>
    <w:rsid w:val="00FD0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7D8"/>
  <w15:docId w15:val="{160D0F47-0DF1-4116-A00C-211FD679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C17"/>
    <w:pPr>
      <w:spacing w:after="0" w:line="240" w:lineRule="auto"/>
    </w:pPr>
    <w:rPr>
      <w:rFonts w:eastAsiaTheme="minorEastAsia"/>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1E4C17"/>
    <w:pPr>
      <w:suppressAutoHyphens/>
      <w:spacing w:after="0" w:line="240" w:lineRule="auto"/>
    </w:pPr>
    <w:rPr>
      <w:rFonts w:ascii="Times New Roman" w:eastAsia="Times New Roman" w:hAnsi="Times New Roman" w:cs="Times New Roman"/>
      <w:kern w:val="2"/>
      <w:sz w:val="24"/>
      <w:szCs w:val="24"/>
      <w:lang w:eastAsia="zh-CN" w:bidi="hi-IN"/>
    </w:rPr>
  </w:style>
  <w:style w:type="table" w:customStyle="1" w:styleId="Grigliatabella1">
    <w:name w:val="Griglia tabella1"/>
    <w:basedOn w:val="Tabellanormale"/>
    <w:uiPriority w:val="59"/>
    <w:rsid w:val="001E4C17"/>
    <w:pPr>
      <w:spacing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1E4C17"/>
    <w:pPr>
      <w:spacing w:after="0" w:line="240" w:lineRule="auto"/>
    </w:pPr>
    <w:rPr>
      <w:rFonts w:eastAsiaTheme="minorEastAsia"/>
      <w:sz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856BC"/>
    <w:pPr>
      <w:tabs>
        <w:tab w:val="center" w:pos="4819"/>
        <w:tab w:val="right" w:pos="9638"/>
      </w:tabs>
    </w:pPr>
  </w:style>
  <w:style w:type="character" w:customStyle="1" w:styleId="IntestazioneCarattere">
    <w:name w:val="Intestazione Carattere"/>
    <w:basedOn w:val="Carpredefinitoparagrafo"/>
    <w:link w:val="Intestazione"/>
    <w:uiPriority w:val="99"/>
    <w:rsid w:val="008856BC"/>
    <w:rPr>
      <w:rFonts w:eastAsiaTheme="minorEastAsia"/>
      <w:sz w:val="20"/>
      <w:lang w:eastAsia="it-IT"/>
    </w:rPr>
  </w:style>
  <w:style w:type="paragraph" w:styleId="Pidipagina">
    <w:name w:val="footer"/>
    <w:basedOn w:val="Normale"/>
    <w:link w:val="PidipaginaCarattere"/>
    <w:uiPriority w:val="99"/>
    <w:unhideWhenUsed/>
    <w:rsid w:val="008856BC"/>
    <w:pPr>
      <w:tabs>
        <w:tab w:val="center" w:pos="4819"/>
        <w:tab w:val="right" w:pos="9638"/>
      </w:tabs>
    </w:pPr>
  </w:style>
  <w:style w:type="character" w:customStyle="1" w:styleId="PidipaginaCarattere">
    <w:name w:val="Piè di pagina Carattere"/>
    <w:basedOn w:val="Carpredefinitoparagrafo"/>
    <w:link w:val="Pidipagina"/>
    <w:uiPriority w:val="99"/>
    <w:rsid w:val="008856BC"/>
    <w:rPr>
      <w:rFonts w:eastAsiaTheme="minorEastAsia"/>
      <w:sz w:val="20"/>
      <w:lang w:eastAsia="it-IT"/>
    </w:rPr>
  </w:style>
  <w:style w:type="paragraph" w:styleId="Paragrafoelenco">
    <w:name w:val="List Paragraph"/>
    <w:basedOn w:val="Normale1"/>
    <w:uiPriority w:val="34"/>
    <w:qFormat/>
    <w:rsid w:val="009334B4"/>
    <w:pPr>
      <w:ind w:left="720"/>
      <w:contextualSpacing/>
    </w:pPr>
    <w:rPr>
      <w:kern w:val="0"/>
    </w:rPr>
  </w:style>
  <w:style w:type="character" w:customStyle="1" w:styleId="normaltextrun">
    <w:name w:val="normaltextrun"/>
    <w:basedOn w:val="Carpredefinitoparagrafo"/>
    <w:rsid w:val="006E2F35"/>
  </w:style>
  <w:style w:type="paragraph" w:styleId="Revisione">
    <w:name w:val="Revision"/>
    <w:hidden/>
    <w:uiPriority w:val="99"/>
    <w:semiHidden/>
    <w:rsid w:val="00DD3E70"/>
    <w:pPr>
      <w:spacing w:after="0" w:line="240" w:lineRule="auto"/>
    </w:pPr>
    <w:rPr>
      <w:rFonts w:eastAsiaTheme="minorEastAsia"/>
      <w:sz w:val="20"/>
      <w:lang w:eastAsia="it-IT"/>
    </w:rPr>
  </w:style>
  <w:style w:type="character" w:styleId="Rimandocommento">
    <w:name w:val="annotation reference"/>
    <w:basedOn w:val="Carpredefinitoparagrafo"/>
    <w:uiPriority w:val="99"/>
    <w:semiHidden/>
    <w:unhideWhenUsed/>
    <w:rsid w:val="00DD3E70"/>
    <w:rPr>
      <w:sz w:val="16"/>
      <w:szCs w:val="16"/>
    </w:rPr>
  </w:style>
  <w:style w:type="paragraph" w:styleId="Testocommento">
    <w:name w:val="annotation text"/>
    <w:basedOn w:val="Normale"/>
    <w:link w:val="TestocommentoCarattere"/>
    <w:uiPriority w:val="99"/>
    <w:unhideWhenUsed/>
    <w:rsid w:val="00DD3E70"/>
    <w:rPr>
      <w:szCs w:val="20"/>
    </w:rPr>
  </w:style>
  <w:style w:type="character" w:customStyle="1" w:styleId="TestocommentoCarattere">
    <w:name w:val="Testo commento Carattere"/>
    <w:basedOn w:val="Carpredefinitoparagrafo"/>
    <w:link w:val="Testocommento"/>
    <w:uiPriority w:val="99"/>
    <w:rsid w:val="00DD3E70"/>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D3E70"/>
    <w:rPr>
      <w:b/>
      <w:bCs/>
    </w:rPr>
  </w:style>
  <w:style w:type="character" w:customStyle="1" w:styleId="SoggettocommentoCarattere">
    <w:name w:val="Soggetto commento Carattere"/>
    <w:basedOn w:val="TestocommentoCarattere"/>
    <w:link w:val="Soggettocommento"/>
    <w:uiPriority w:val="99"/>
    <w:semiHidden/>
    <w:rsid w:val="00DD3E70"/>
    <w:rPr>
      <w:rFonts w:eastAsiaTheme="minorEastAsia"/>
      <w:b/>
      <w:bCs/>
      <w:sz w:val="20"/>
      <w:szCs w:val="20"/>
      <w:lang w:eastAsia="it-IT"/>
    </w:rPr>
  </w:style>
  <w:style w:type="character" w:styleId="Collegamentoipertestuale">
    <w:name w:val="Hyperlink"/>
    <w:basedOn w:val="Carpredefinitoparagrafo"/>
    <w:uiPriority w:val="99"/>
    <w:unhideWhenUsed/>
    <w:rsid w:val="00DD3E70"/>
    <w:rPr>
      <w:color w:val="0563C1" w:themeColor="hyperlink"/>
      <w:u w:val="single"/>
    </w:rPr>
  </w:style>
  <w:style w:type="character" w:customStyle="1" w:styleId="Menzionenonrisolta1">
    <w:name w:val="Menzione non risolta1"/>
    <w:basedOn w:val="Carpredefinitoparagrafo"/>
    <w:uiPriority w:val="99"/>
    <w:semiHidden/>
    <w:unhideWhenUsed/>
    <w:rsid w:val="00DD3E70"/>
    <w:rPr>
      <w:color w:val="605E5C"/>
      <w:shd w:val="clear" w:color="auto" w:fill="E1DFDD"/>
    </w:rPr>
  </w:style>
  <w:style w:type="paragraph" w:customStyle="1" w:styleId="Default">
    <w:name w:val="Default"/>
    <w:rsid w:val="006849A1"/>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Carpredefinitoparagrafo"/>
    <w:rsid w:val="004C7742"/>
    <w:rPr>
      <w:rFonts w:ascii="Segoe UI" w:hAnsi="Segoe UI" w:cs="Segoe UI" w:hint="default"/>
      <w:sz w:val="18"/>
      <w:szCs w:val="18"/>
    </w:rPr>
  </w:style>
  <w:style w:type="paragraph" w:styleId="Testofumetto">
    <w:name w:val="Balloon Text"/>
    <w:basedOn w:val="Normale"/>
    <w:link w:val="TestofumettoCarattere"/>
    <w:uiPriority w:val="99"/>
    <w:semiHidden/>
    <w:unhideWhenUsed/>
    <w:rsid w:val="004479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79A8"/>
    <w:rPr>
      <w:rFonts w:ascii="Segoe UI" w:eastAsiaTheme="minorEastAsia" w:hAnsi="Segoe UI" w:cs="Segoe UI"/>
      <w:sz w:val="18"/>
      <w:szCs w:val="18"/>
      <w:lang w:eastAsia="it-IT"/>
    </w:rPr>
  </w:style>
  <w:style w:type="table" w:customStyle="1" w:styleId="Grigliatabella2">
    <w:name w:val="Griglia tabella2"/>
    <w:basedOn w:val="Tabellanormale"/>
    <w:next w:val="Grigliatabella"/>
    <w:uiPriority w:val="39"/>
    <w:rsid w:val="008E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0C4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110C08"/>
    <w:rPr>
      <w:color w:val="954F72" w:themeColor="followedHyperlink"/>
      <w:u w:val="single"/>
    </w:rPr>
  </w:style>
  <w:style w:type="character" w:customStyle="1" w:styleId="markedcontent">
    <w:name w:val="markedcontent"/>
    <w:basedOn w:val="Carpredefinitoparagrafo"/>
    <w:rsid w:val="00EC781D"/>
  </w:style>
  <w:style w:type="character" w:styleId="Menzionenonrisolta">
    <w:name w:val="Unresolved Mention"/>
    <w:basedOn w:val="Carpredefinitoparagrafo"/>
    <w:uiPriority w:val="99"/>
    <w:semiHidden/>
    <w:unhideWhenUsed/>
    <w:rsid w:val="0083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CD15-569E-459C-9A3D-B1D69944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4093</Words>
  <Characters>23333</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Settore AAQ</dc:creator>
  <cp:lastModifiedBy>Monica Brignardello</cp:lastModifiedBy>
  <cp:revision>11</cp:revision>
  <dcterms:created xsi:type="dcterms:W3CDTF">2022-09-24T16:48:00Z</dcterms:created>
  <dcterms:modified xsi:type="dcterms:W3CDTF">2022-09-26T14:41:00Z</dcterms:modified>
</cp:coreProperties>
</file>