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7C" w:rsidRPr="003D517C" w:rsidRDefault="003D517C" w:rsidP="003D517C">
      <w:pPr>
        <w:spacing w:after="0" w:line="240" w:lineRule="auto"/>
        <w:jc w:val="center"/>
        <w:rPr>
          <w:rFonts w:ascii="Times New Roman" w:eastAsia="Times New Roman" w:hAnsi="Times New Roman" w:cs="Times New Roman"/>
          <w:b/>
          <w:sz w:val="24"/>
          <w:szCs w:val="24"/>
          <w:lang w:eastAsia="it-IT"/>
        </w:rPr>
      </w:pPr>
      <w:r w:rsidRPr="003D517C">
        <w:rPr>
          <w:rFonts w:ascii="Times New Roman" w:eastAsia="Times New Roman" w:hAnsi="Times New Roman" w:cs="Times New Roman"/>
          <w:b/>
          <w:sz w:val="24"/>
          <w:szCs w:val="24"/>
          <w:lang w:eastAsia="it-IT"/>
        </w:rPr>
        <w:t>Regolamento didattico del corso di studio MAGISTRALE in “</w:t>
      </w:r>
      <w:r w:rsidR="008301D0">
        <w:rPr>
          <w:rFonts w:ascii="Times New Roman" w:eastAsia="Times New Roman" w:hAnsi="Times New Roman" w:cs="Times New Roman"/>
          <w:b/>
          <w:sz w:val="24"/>
          <w:szCs w:val="24"/>
          <w:lang w:eastAsia="it-IT"/>
        </w:rPr>
        <w:t xml:space="preserve">Economia e </w:t>
      </w:r>
      <w:r w:rsidR="00C12A94">
        <w:rPr>
          <w:rFonts w:ascii="Times New Roman" w:eastAsia="Times New Roman" w:hAnsi="Times New Roman" w:cs="Times New Roman"/>
          <w:b/>
          <w:sz w:val="24"/>
          <w:szCs w:val="24"/>
          <w:lang w:eastAsia="it-IT"/>
        </w:rPr>
        <w:t>management marittimo e portuale</w:t>
      </w:r>
      <w:r w:rsidRPr="003D517C">
        <w:rPr>
          <w:rFonts w:ascii="Times New Roman" w:eastAsia="Times New Roman" w:hAnsi="Times New Roman" w:cs="Times New Roman"/>
          <w:b/>
          <w:sz w:val="24"/>
          <w:szCs w:val="24"/>
          <w:lang w:eastAsia="it-IT"/>
        </w:rPr>
        <w:t>”</w:t>
      </w:r>
    </w:p>
    <w:p w:rsidR="00365479" w:rsidRPr="003D517C" w:rsidRDefault="00365479" w:rsidP="00365479">
      <w:pPr>
        <w:spacing w:after="0" w:line="240" w:lineRule="auto"/>
        <w:rPr>
          <w:rFonts w:ascii="Times New Roman" w:eastAsia="Times New Roman" w:hAnsi="Times New Roman" w:cs="Times New Roman"/>
          <w:sz w:val="24"/>
          <w:szCs w:val="24"/>
          <w:lang w:eastAsia="it-IT"/>
        </w:rPr>
      </w:pPr>
      <w:r w:rsidRPr="008C57C2">
        <w:rPr>
          <w:rFonts w:ascii="Times New Roman" w:eastAsia="Times New Roman" w:hAnsi="Times New Roman" w:cs="Times New Roman"/>
          <w:sz w:val="24"/>
          <w:szCs w:val="24"/>
          <w:highlight w:val="yellow"/>
          <w:lang w:eastAsia="it-IT"/>
        </w:rPr>
        <w:t>In giallo le modifiche apportate rispetto alla versione precedente</w:t>
      </w:r>
      <w:r w:rsidR="00551084">
        <w:rPr>
          <w:rFonts w:ascii="Times New Roman" w:eastAsia="Times New Roman" w:hAnsi="Times New Roman" w:cs="Times New Roman"/>
          <w:sz w:val="24"/>
          <w:szCs w:val="24"/>
          <w:lang w:eastAsia="it-IT"/>
        </w:rPr>
        <w:t>.</w:t>
      </w:r>
    </w:p>
    <w:p w:rsidR="003D517C" w:rsidRPr="003D517C" w:rsidRDefault="003D517C" w:rsidP="003D517C">
      <w:pPr>
        <w:spacing w:after="0" w:line="240" w:lineRule="auto"/>
        <w:jc w:val="center"/>
        <w:rPr>
          <w:rFonts w:ascii="Times New Roman" w:eastAsia="Times New Roman" w:hAnsi="Times New Roman" w:cs="Times New Roman"/>
          <w:b/>
          <w:sz w:val="24"/>
          <w:szCs w:val="24"/>
          <w:lang w:eastAsia="it-IT"/>
        </w:rPr>
      </w:pPr>
    </w:p>
    <w:tbl>
      <w:tblPr>
        <w:tblStyle w:val="Grigliatabella"/>
        <w:tblW w:w="5000" w:type="pct"/>
        <w:jc w:val="center"/>
        <w:tblLook w:val="01E0"/>
      </w:tblPr>
      <w:tblGrid>
        <w:gridCol w:w="4380"/>
        <w:gridCol w:w="10123"/>
      </w:tblGrid>
      <w:tr w:rsidR="00F7421C" w:rsidRPr="003B6014" w:rsidTr="00F14C4A">
        <w:trPr>
          <w:jc w:val="center"/>
        </w:trPr>
        <w:tc>
          <w:tcPr>
            <w:tcW w:w="1510" w:type="pct"/>
          </w:tcPr>
          <w:p w:rsidR="00F7421C" w:rsidRPr="003B6014" w:rsidRDefault="00F7421C" w:rsidP="00F14C4A">
            <w:pPr>
              <w:rPr>
                <w:rFonts w:ascii="Arial" w:hAnsi="Arial" w:cs="Arial"/>
                <w:sz w:val="16"/>
                <w:szCs w:val="16"/>
              </w:rPr>
            </w:pPr>
            <w:r w:rsidRPr="003B6014">
              <w:rPr>
                <w:rFonts w:ascii="Arial" w:hAnsi="Arial" w:cs="Arial"/>
                <w:sz w:val="16"/>
                <w:szCs w:val="16"/>
              </w:rPr>
              <w:t>Art. 1</w:t>
            </w:r>
          </w:p>
          <w:p w:rsidR="00F7421C" w:rsidRPr="003B6014" w:rsidRDefault="00F7421C" w:rsidP="00F14C4A">
            <w:pPr>
              <w:rPr>
                <w:rFonts w:ascii="Arial" w:hAnsi="Arial" w:cs="Arial"/>
                <w:b/>
                <w:sz w:val="16"/>
                <w:szCs w:val="16"/>
              </w:rPr>
            </w:pPr>
            <w:r w:rsidRPr="003B6014">
              <w:rPr>
                <w:rFonts w:ascii="Arial" w:hAnsi="Arial" w:cs="Arial"/>
                <w:b/>
                <w:sz w:val="16"/>
                <w:szCs w:val="16"/>
              </w:rPr>
              <w:t xml:space="preserve">Premessa e ambito di competenza </w:t>
            </w:r>
          </w:p>
          <w:p w:rsidR="00F7421C" w:rsidRPr="003B6014" w:rsidRDefault="00F7421C" w:rsidP="00F14C4A">
            <w:pPr>
              <w:rPr>
                <w:rFonts w:ascii="Arial" w:hAnsi="Arial" w:cs="Arial"/>
                <w:b/>
                <w:sz w:val="16"/>
                <w:szCs w:val="16"/>
              </w:rPr>
            </w:pPr>
          </w:p>
          <w:p w:rsidR="00F7421C" w:rsidRPr="003B6014" w:rsidRDefault="00F7421C" w:rsidP="00F14C4A">
            <w:pPr>
              <w:rPr>
                <w:rFonts w:ascii="Arial" w:hAnsi="Arial" w:cs="Arial"/>
                <w:b/>
                <w:sz w:val="16"/>
                <w:szCs w:val="16"/>
              </w:rPr>
            </w:pPr>
          </w:p>
          <w:p w:rsidR="00F7421C" w:rsidRPr="003B6014" w:rsidRDefault="00F7421C" w:rsidP="00F14C4A">
            <w:pPr>
              <w:rPr>
                <w:rFonts w:ascii="Arial" w:hAnsi="Arial" w:cs="Arial"/>
                <w:sz w:val="16"/>
                <w:szCs w:val="16"/>
                <w:u w:val="single"/>
              </w:rPr>
            </w:pPr>
          </w:p>
        </w:tc>
        <w:tc>
          <w:tcPr>
            <w:tcW w:w="3490" w:type="pct"/>
          </w:tcPr>
          <w:p w:rsidR="00F7421C" w:rsidRPr="003B6014" w:rsidRDefault="00F7421C" w:rsidP="00F14C4A">
            <w:pPr>
              <w:jc w:val="both"/>
              <w:rPr>
                <w:rFonts w:ascii="Arial" w:hAnsi="Arial" w:cs="Arial"/>
                <w:b/>
                <w:sz w:val="16"/>
                <w:szCs w:val="16"/>
              </w:rPr>
            </w:pPr>
            <w:r w:rsidRPr="003B6014">
              <w:rPr>
                <w:rFonts w:ascii="Arial" w:hAnsi="Arial" w:cs="Arial"/>
                <w:sz w:val="16"/>
                <w:szCs w:val="16"/>
              </w:rPr>
              <w:t xml:space="preserve">Il presente Regolamento, in conformità allo Statuto e al Regolamento Didattico di Ateneo, disciplina gli aspetti organizzativi dell’attività didattica del corso di Laurea Magistrale in </w:t>
            </w:r>
            <w:bookmarkStart w:id="0" w:name="OLE_LINK1"/>
            <w:bookmarkStart w:id="1" w:name="OLE_LINK2"/>
            <w:r w:rsidRPr="003B6014">
              <w:rPr>
                <w:rFonts w:ascii="Arial" w:hAnsi="Arial" w:cs="Arial"/>
                <w:sz w:val="16"/>
                <w:szCs w:val="16"/>
              </w:rPr>
              <w:t>“Economia e Management Marittimo Portuale</w:t>
            </w:r>
            <w:bookmarkEnd w:id="0"/>
            <w:bookmarkEnd w:id="1"/>
            <w:r w:rsidRPr="003B6014">
              <w:rPr>
                <w:rFonts w:ascii="Arial" w:hAnsi="Arial" w:cs="Arial"/>
                <w:sz w:val="16"/>
                <w:szCs w:val="16"/>
              </w:rPr>
              <w:t xml:space="preserve">” (di seguito denominato </w:t>
            </w:r>
            <w:bookmarkStart w:id="2" w:name="OLE_LINK3"/>
            <w:r w:rsidRPr="003B6014">
              <w:rPr>
                <w:rFonts w:ascii="Arial" w:hAnsi="Arial" w:cs="Arial"/>
                <w:sz w:val="16"/>
                <w:szCs w:val="16"/>
              </w:rPr>
              <w:t>EMMP</w:t>
            </w:r>
            <w:bookmarkEnd w:id="2"/>
            <w:r w:rsidRPr="003B6014">
              <w:rPr>
                <w:rFonts w:ascii="Arial" w:hAnsi="Arial" w:cs="Arial"/>
                <w:sz w:val="16"/>
                <w:szCs w:val="16"/>
              </w:rPr>
              <w:t>),</w:t>
            </w:r>
            <w:r w:rsidRPr="003B6014">
              <w:rPr>
                <w:rFonts w:ascii="Arial" w:hAnsi="Arial" w:cs="Arial"/>
                <w:b/>
                <w:sz w:val="16"/>
                <w:szCs w:val="16"/>
              </w:rPr>
              <w:t xml:space="preserve"> </w:t>
            </w:r>
            <w:r w:rsidRPr="003B6014">
              <w:rPr>
                <w:rFonts w:ascii="Arial" w:hAnsi="Arial" w:cs="Arial"/>
                <w:sz w:val="16"/>
                <w:szCs w:val="16"/>
              </w:rPr>
              <w:t>nonché ogni diversa materia ad esso devoluta da altre fonti legislative e regolamentari.</w:t>
            </w:r>
          </w:p>
          <w:p w:rsidR="00F7421C" w:rsidRPr="003B6014" w:rsidRDefault="007835FA" w:rsidP="00F14C4A">
            <w:pPr>
              <w:jc w:val="both"/>
              <w:rPr>
                <w:rFonts w:ascii="Arial" w:hAnsi="Arial" w:cs="Arial"/>
                <w:sz w:val="16"/>
                <w:szCs w:val="16"/>
              </w:rPr>
            </w:pPr>
            <w:r w:rsidRPr="008C1523">
              <w:rPr>
                <w:rFonts w:ascii="Arial" w:hAnsi="Arial" w:cs="Arial"/>
                <w:sz w:val="16"/>
                <w:szCs w:val="16"/>
                <w:highlight w:val="yellow"/>
              </w:rPr>
              <w:t>Il Regolamen</w:t>
            </w:r>
            <w:r w:rsidR="006619A5">
              <w:rPr>
                <w:rFonts w:ascii="Arial" w:hAnsi="Arial" w:cs="Arial"/>
                <w:sz w:val="16"/>
                <w:szCs w:val="16"/>
                <w:highlight w:val="yellow"/>
              </w:rPr>
              <w:t xml:space="preserve">to didattico del corso di LM EMMP </w:t>
            </w:r>
            <w:r w:rsidRPr="008C1523">
              <w:rPr>
                <w:rFonts w:ascii="Arial" w:hAnsi="Arial" w:cs="Arial"/>
                <w:sz w:val="16"/>
                <w:szCs w:val="16"/>
                <w:highlight w:val="yellow"/>
              </w:rPr>
              <w:t>ai sensi dell’articolo 18, comma 3 del Regolamento Didattico di Ateneo, parte generale, è deliberato dal competente consiglio a maggioranza dei componenti e sottoposto all’approvazione del consiglio di dipartimento di riferimento e dei consigli degli eventuali dipartimenti associati, sentita la scuola</w:t>
            </w:r>
            <w:r>
              <w:rPr>
                <w:rFonts w:ascii="Arial" w:hAnsi="Arial" w:cs="Arial"/>
                <w:sz w:val="16"/>
                <w:szCs w:val="16"/>
              </w:rPr>
              <w:t>.</w:t>
            </w:r>
          </w:p>
          <w:p w:rsidR="00F7421C" w:rsidRPr="003B6014" w:rsidRDefault="00F7421C" w:rsidP="00F14C4A">
            <w:pPr>
              <w:jc w:val="both"/>
              <w:rPr>
                <w:rFonts w:ascii="Arial" w:hAnsi="Arial" w:cs="Arial"/>
                <w:sz w:val="16"/>
                <w:szCs w:val="16"/>
              </w:rPr>
            </w:pPr>
          </w:p>
        </w:tc>
      </w:tr>
      <w:tr w:rsidR="00F7421C" w:rsidRPr="003B6014" w:rsidTr="00F14C4A">
        <w:trPr>
          <w:jc w:val="center"/>
        </w:trPr>
        <w:tc>
          <w:tcPr>
            <w:tcW w:w="1510" w:type="pct"/>
          </w:tcPr>
          <w:p w:rsidR="00F7421C" w:rsidRPr="003B6014" w:rsidRDefault="00F7421C" w:rsidP="00F14C4A">
            <w:pPr>
              <w:rPr>
                <w:rFonts w:ascii="Arial" w:hAnsi="Arial" w:cs="Arial"/>
                <w:sz w:val="16"/>
                <w:szCs w:val="16"/>
              </w:rPr>
            </w:pPr>
            <w:r w:rsidRPr="003B6014">
              <w:rPr>
                <w:rFonts w:ascii="Arial" w:hAnsi="Arial" w:cs="Arial"/>
                <w:sz w:val="16"/>
                <w:szCs w:val="16"/>
              </w:rPr>
              <w:t>Art. 2</w:t>
            </w:r>
          </w:p>
          <w:p w:rsidR="00F7421C" w:rsidRPr="003B6014" w:rsidRDefault="00F7421C" w:rsidP="00F14C4A">
            <w:pPr>
              <w:rPr>
                <w:rFonts w:ascii="Arial" w:hAnsi="Arial" w:cs="Arial"/>
                <w:b/>
                <w:sz w:val="16"/>
                <w:szCs w:val="16"/>
              </w:rPr>
            </w:pPr>
            <w:r w:rsidRPr="003B6014">
              <w:rPr>
                <w:rFonts w:ascii="Arial" w:hAnsi="Arial" w:cs="Arial"/>
                <w:b/>
                <w:sz w:val="16"/>
                <w:szCs w:val="16"/>
              </w:rPr>
              <w:t>Requisiti di ammissione. Modalità di verifica</w:t>
            </w:r>
          </w:p>
          <w:p w:rsidR="00F7421C" w:rsidRPr="003B6014" w:rsidRDefault="00F7421C" w:rsidP="00F14C4A">
            <w:pPr>
              <w:rPr>
                <w:rFonts w:ascii="Arial" w:hAnsi="Arial" w:cs="Arial"/>
                <w:b/>
                <w:sz w:val="16"/>
                <w:szCs w:val="16"/>
              </w:rPr>
            </w:pPr>
          </w:p>
          <w:p w:rsidR="00F7421C" w:rsidRPr="003B6014" w:rsidRDefault="00F7421C" w:rsidP="00F14C4A">
            <w:pPr>
              <w:rPr>
                <w:rFonts w:ascii="Arial" w:hAnsi="Arial" w:cs="Arial"/>
                <w:sz w:val="16"/>
                <w:szCs w:val="16"/>
              </w:rPr>
            </w:pPr>
          </w:p>
        </w:tc>
        <w:tc>
          <w:tcPr>
            <w:tcW w:w="3490" w:type="pct"/>
          </w:tcPr>
          <w:p w:rsidR="00F7421C" w:rsidRPr="003B6014" w:rsidRDefault="00F7421C" w:rsidP="00F14C4A">
            <w:pPr>
              <w:jc w:val="both"/>
              <w:rPr>
                <w:rFonts w:ascii="Arial" w:hAnsi="Arial" w:cs="Arial"/>
                <w:sz w:val="16"/>
                <w:szCs w:val="16"/>
              </w:rPr>
            </w:pPr>
            <w:r w:rsidRPr="003B6014">
              <w:rPr>
                <w:rFonts w:ascii="Arial" w:hAnsi="Arial" w:cs="Arial"/>
                <w:sz w:val="16"/>
                <w:szCs w:val="16"/>
              </w:rPr>
              <w:t>L’accesso alla LM EMMP è regolato da tre fonti principali: il Manifesto degli Studi, l’Ordinamento didattico ed il Regolamento didattico.</w:t>
            </w:r>
          </w:p>
          <w:p w:rsidR="00F7421C" w:rsidRPr="003B6014" w:rsidRDefault="00F7421C" w:rsidP="00F14C4A">
            <w:pPr>
              <w:jc w:val="both"/>
              <w:rPr>
                <w:rFonts w:ascii="Arial" w:hAnsi="Arial" w:cs="Arial"/>
                <w:sz w:val="16"/>
                <w:szCs w:val="16"/>
              </w:rPr>
            </w:pPr>
            <w:r w:rsidRPr="003B6014">
              <w:rPr>
                <w:rFonts w:ascii="Arial" w:hAnsi="Arial" w:cs="Arial"/>
                <w:sz w:val="16"/>
                <w:szCs w:val="16"/>
              </w:rPr>
              <w:t>I requisiti di accesso che devono possedere gli studenti precedentemente all’iscrizione sono riconducibili a due differenti tipologie, ovvero:</w:t>
            </w:r>
          </w:p>
          <w:p w:rsidR="00F7421C" w:rsidRPr="003B6014" w:rsidRDefault="00F7421C" w:rsidP="00F7421C">
            <w:pPr>
              <w:numPr>
                <w:ilvl w:val="0"/>
                <w:numId w:val="1"/>
              </w:numPr>
              <w:jc w:val="both"/>
              <w:rPr>
                <w:rFonts w:ascii="Arial" w:hAnsi="Arial" w:cs="Arial"/>
                <w:sz w:val="16"/>
                <w:szCs w:val="16"/>
              </w:rPr>
            </w:pPr>
            <w:r w:rsidRPr="003B6014">
              <w:rPr>
                <w:rFonts w:ascii="Arial" w:hAnsi="Arial" w:cs="Arial"/>
                <w:sz w:val="16"/>
                <w:szCs w:val="16"/>
              </w:rPr>
              <w:t xml:space="preserve">il “possesso dei requisiti curriculari espressi in termini di CFU riferiti a specifici SSD; </w:t>
            </w:r>
          </w:p>
          <w:p w:rsidR="00F7421C" w:rsidRPr="003B6014" w:rsidRDefault="00F7421C" w:rsidP="00F7421C">
            <w:pPr>
              <w:numPr>
                <w:ilvl w:val="0"/>
                <w:numId w:val="1"/>
              </w:numPr>
              <w:jc w:val="both"/>
              <w:rPr>
                <w:rFonts w:ascii="Arial" w:hAnsi="Arial" w:cs="Arial"/>
                <w:sz w:val="16"/>
                <w:szCs w:val="16"/>
              </w:rPr>
            </w:pPr>
            <w:r w:rsidRPr="003B6014">
              <w:rPr>
                <w:rFonts w:ascii="Arial" w:hAnsi="Arial" w:cs="Arial"/>
                <w:sz w:val="16"/>
                <w:szCs w:val="16"/>
              </w:rPr>
              <w:t>la “adeguatezza della preparazione personale”.</w:t>
            </w:r>
          </w:p>
          <w:p w:rsidR="00F7421C" w:rsidRPr="00E61B11" w:rsidRDefault="00F7421C" w:rsidP="00F14C4A">
            <w:pPr>
              <w:jc w:val="both"/>
              <w:rPr>
                <w:rFonts w:ascii="Arial" w:hAnsi="Arial" w:cs="Arial"/>
                <w:smallCaps/>
                <w:sz w:val="16"/>
                <w:szCs w:val="16"/>
                <w:u w:val="single"/>
              </w:rPr>
            </w:pPr>
            <w:r w:rsidRPr="00E61B11">
              <w:rPr>
                <w:rFonts w:ascii="Arial" w:hAnsi="Arial" w:cs="Arial"/>
                <w:smallCaps/>
                <w:sz w:val="16"/>
                <w:szCs w:val="16"/>
                <w:u w:val="single"/>
              </w:rPr>
              <w:t>Verifica requisiti curriculari.</w:t>
            </w:r>
          </w:p>
          <w:p w:rsidR="00F7421C" w:rsidRPr="003B6014" w:rsidRDefault="00F7421C" w:rsidP="00F14C4A">
            <w:pPr>
              <w:jc w:val="both"/>
              <w:rPr>
                <w:rFonts w:ascii="Arial" w:hAnsi="Arial" w:cs="Arial"/>
                <w:sz w:val="16"/>
                <w:szCs w:val="16"/>
              </w:rPr>
            </w:pPr>
            <w:r w:rsidRPr="003B6014">
              <w:rPr>
                <w:rFonts w:ascii="Arial" w:hAnsi="Arial" w:cs="Arial"/>
                <w:sz w:val="16"/>
                <w:szCs w:val="16"/>
              </w:rPr>
              <w:t>Ai fini della verifica dei requisiti curriculari per l’accesso alla LM EMMP si identificano, come c</w:t>
            </w:r>
            <w:r w:rsidR="00E967C7">
              <w:rPr>
                <w:rFonts w:ascii="Arial" w:hAnsi="Arial" w:cs="Arial"/>
                <w:sz w:val="16"/>
                <w:szCs w:val="16"/>
              </w:rPr>
              <w:t xml:space="preserve">oncordato per tutte le LM del Dipartimento </w:t>
            </w:r>
            <w:r w:rsidRPr="003B6014">
              <w:rPr>
                <w:rFonts w:ascii="Arial" w:hAnsi="Arial" w:cs="Arial"/>
                <w:sz w:val="16"/>
                <w:szCs w:val="16"/>
              </w:rPr>
              <w:t>di Economia dell’Università di Genova, due categorie di studenti:</w:t>
            </w:r>
          </w:p>
          <w:p w:rsidR="00F7421C" w:rsidRPr="003B6014" w:rsidRDefault="00F7421C" w:rsidP="00F7421C">
            <w:pPr>
              <w:numPr>
                <w:ilvl w:val="0"/>
                <w:numId w:val="2"/>
              </w:numPr>
              <w:jc w:val="both"/>
              <w:rPr>
                <w:rFonts w:ascii="Arial" w:hAnsi="Arial" w:cs="Arial"/>
                <w:sz w:val="16"/>
                <w:szCs w:val="16"/>
              </w:rPr>
            </w:pPr>
            <w:r w:rsidRPr="003B6014">
              <w:rPr>
                <w:rFonts w:ascii="Arial" w:hAnsi="Arial" w:cs="Arial"/>
                <w:sz w:val="16"/>
                <w:szCs w:val="16"/>
              </w:rPr>
              <w:t>laureati in continuità</w:t>
            </w:r>
          </w:p>
          <w:p w:rsidR="00F7421C" w:rsidRPr="003B6014" w:rsidRDefault="00F7421C" w:rsidP="00F7421C">
            <w:pPr>
              <w:numPr>
                <w:ilvl w:val="0"/>
                <w:numId w:val="2"/>
              </w:numPr>
              <w:jc w:val="both"/>
              <w:rPr>
                <w:rFonts w:ascii="Arial" w:hAnsi="Arial" w:cs="Arial"/>
                <w:sz w:val="16"/>
                <w:szCs w:val="16"/>
              </w:rPr>
            </w:pPr>
            <w:r w:rsidRPr="003B6014">
              <w:rPr>
                <w:rFonts w:ascii="Arial" w:hAnsi="Arial" w:cs="Arial"/>
                <w:sz w:val="16"/>
                <w:szCs w:val="16"/>
              </w:rPr>
              <w:t>laureati non in continuità</w:t>
            </w:r>
          </w:p>
          <w:p w:rsidR="00F7421C" w:rsidRPr="003B6014" w:rsidRDefault="00F7421C" w:rsidP="00F14C4A">
            <w:pPr>
              <w:jc w:val="both"/>
              <w:rPr>
                <w:rFonts w:ascii="Arial" w:hAnsi="Arial" w:cs="Arial"/>
                <w:sz w:val="16"/>
                <w:szCs w:val="16"/>
              </w:rPr>
            </w:pPr>
            <w:r w:rsidRPr="003B6014">
              <w:rPr>
                <w:rFonts w:ascii="Arial" w:hAnsi="Arial" w:cs="Arial"/>
                <w:sz w:val="16"/>
                <w:szCs w:val="16"/>
              </w:rPr>
              <w:t xml:space="preserve">Per </w:t>
            </w:r>
            <w:smartTag w:uri="urn:schemas-microsoft-com:office:smarttags" w:element="PersonName">
              <w:smartTagPr>
                <w:attr w:name="ProductID" w:val="la LM EMMP"/>
              </w:smartTagPr>
              <w:smartTag w:uri="urn:schemas-microsoft-com:office:smarttags" w:element="PersonName">
                <w:smartTagPr>
                  <w:attr w:name="ProductID" w:val="la LM"/>
                </w:smartTagPr>
                <w:r w:rsidRPr="003B6014">
                  <w:rPr>
                    <w:rFonts w:ascii="Arial" w:hAnsi="Arial" w:cs="Arial"/>
                    <w:sz w:val="16"/>
                    <w:szCs w:val="16"/>
                  </w:rPr>
                  <w:t>la LM</w:t>
                </w:r>
              </w:smartTag>
              <w:r w:rsidRPr="003B6014">
                <w:rPr>
                  <w:rFonts w:ascii="Arial" w:hAnsi="Arial" w:cs="Arial"/>
                  <w:sz w:val="16"/>
                  <w:szCs w:val="16"/>
                </w:rPr>
                <w:t xml:space="preserve"> EMMP</w:t>
              </w:r>
            </w:smartTag>
            <w:r w:rsidRPr="003B6014">
              <w:rPr>
                <w:rFonts w:ascii="Arial" w:hAnsi="Arial" w:cs="Arial"/>
                <w:sz w:val="16"/>
                <w:szCs w:val="16"/>
              </w:rPr>
              <w:t xml:space="preserve"> </w:t>
            </w:r>
            <w:r w:rsidRPr="00D114E5">
              <w:rPr>
                <w:rFonts w:ascii="Arial" w:hAnsi="Arial" w:cs="Arial"/>
                <w:b/>
                <w:sz w:val="16"/>
                <w:szCs w:val="16"/>
              </w:rPr>
              <w:t>i laureati in continuità</w:t>
            </w:r>
            <w:r w:rsidRPr="003B6014">
              <w:rPr>
                <w:rFonts w:ascii="Arial" w:hAnsi="Arial" w:cs="Arial"/>
                <w:sz w:val="16"/>
                <w:szCs w:val="16"/>
              </w:rPr>
              <w:t xml:space="preserve"> sono tutti i laureati nella LT “Economia delle aziende marittime, della logistica e dei trasporti”, classe L-18, e tutti i laureati nella LT “Economia marittima portuale”, classe 17, dell’Università di Genova.</w:t>
            </w:r>
          </w:p>
          <w:p w:rsidR="00F7421C" w:rsidRPr="003B6014" w:rsidRDefault="00F7421C" w:rsidP="00F14C4A">
            <w:pPr>
              <w:jc w:val="both"/>
              <w:rPr>
                <w:rFonts w:ascii="Arial" w:hAnsi="Arial" w:cs="Arial"/>
                <w:sz w:val="16"/>
                <w:szCs w:val="16"/>
              </w:rPr>
            </w:pPr>
            <w:r w:rsidRPr="003B6014">
              <w:rPr>
                <w:rFonts w:ascii="Arial" w:hAnsi="Arial" w:cs="Arial"/>
                <w:sz w:val="16"/>
                <w:szCs w:val="16"/>
              </w:rPr>
              <w:t xml:space="preserve">Per i laureati in continuità è garantita </w:t>
            </w:r>
            <w:r w:rsidR="00365479">
              <w:rPr>
                <w:rFonts w:ascii="Arial" w:hAnsi="Arial" w:cs="Arial"/>
                <w:color w:val="000000"/>
                <w:sz w:val="16"/>
                <w:szCs w:val="16"/>
              </w:rPr>
              <w:t>l’iscrizione</w:t>
            </w:r>
            <w:r w:rsidR="00365479" w:rsidRPr="003D517C">
              <w:rPr>
                <w:rFonts w:ascii="Arial" w:hAnsi="Arial" w:cs="Arial"/>
                <w:color w:val="000000"/>
                <w:sz w:val="16"/>
                <w:szCs w:val="16"/>
              </w:rPr>
              <w:t xml:space="preserve"> </w:t>
            </w:r>
            <w:r w:rsidRPr="003B6014">
              <w:rPr>
                <w:rFonts w:ascii="Arial" w:hAnsi="Arial" w:cs="Arial"/>
                <w:sz w:val="16"/>
                <w:szCs w:val="16"/>
              </w:rPr>
              <w:t>al corso di LM EMMP e dunque la verifica dei requisiti curriculari si considera virtualmente assolta.</w:t>
            </w:r>
          </w:p>
          <w:p w:rsidR="00F7421C" w:rsidRPr="00D7515E" w:rsidRDefault="00F7421C" w:rsidP="00F14C4A">
            <w:pPr>
              <w:rPr>
                <w:rFonts w:ascii="Arial" w:hAnsi="Arial" w:cs="Arial"/>
                <w:sz w:val="16"/>
                <w:szCs w:val="16"/>
              </w:rPr>
            </w:pPr>
            <w:r w:rsidRPr="00D114E5">
              <w:rPr>
                <w:rFonts w:ascii="Arial" w:hAnsi="Arial" w:cs="Arial"/>
                <w:b/>
                <w:sz w:val="16"/>
                <w:szCs w:val="16"/>
              </w:rPr>
              <w:t>I laureati non in continuità</w:t>
            </w:r>
            <w:r w:rsidRPr="003B6014">
              <w:rPr>
                <w:rFonts w:ascii="Arial" w:hAnsi="Arial" w:cs="Arial"/>
                <w:sz w:val="16"/>
                <w:szCs w:val="16"/>
              </w:rPr>
              <w:t xml:space="preserve"> </w:t>
            </w:r>
            <w:r w:rsidRPr="00D7515E">
              <w:rPr>
                <w:rFonts w:ascii="Arial" w:hAnsi="Arial" w:cs="Arial"/>
                <w:sz w:val="16"/>
                <w:szCs w:val="16"/>
              </w:rPr>
              <w:t xml:space="preserve">devono presentare una domanda di valutazione dei requisiti curriculari presso </w:t>
            </w:r>
            <w:r w:rsidR="00E967C7">
              <w:rPr>
                <w:rFonts w:ascii="Arial" w:hAnsi="Arial" w:cs="Arial"/>
                <w:sz w:val="16"/>
                <w:szCs w:val="16"/>
              </w:rPr>
              <w:t>il Dipartimento</w:t>
            </w:r>
            <w:r w:rsidRPr="00D7515E">
              <w:rPr>
                <w:rFonts w:ascii="Arial" w:hAnsi="Arial" w:cs="Arial"/>
                <w:sz w:val="16"/>
                <w:szCs w:val="16"/>
              </w:rPr>
              <w:t xml:space="preserve"> di Economia dell’Università di Genova </w:t>
            </w:r>
            <w:r>
              <w:rPr>
                <w:rFonts w:ascii="Arial" w:hAnsi="Arial" w:cs="Arial"/>
                <w:sz w:val="16"/>
                <w:szCs w:val="16"/>
              </w:rPr>
              <w:t xml:space="preserve">per </w:t>
            </w:r>
            <w:r w:rsidR="003979EC">
              <w:rPr>
                <w:rFonts w:ascii="Arial" w:hAnsi="Arial" w:cs="Arial"/>
                <w:sz w:val="16"/>
                <w:szCs w:val="16"/>
              </w:rPr>
              <w:t>ottenere il n</w:t>
            </w:r>
            <w:r w:rsidRPr="00D7515E">
              <w:rPr>
                <w:rFonts w:ascii="Arial" w:hAnsi="Arial" w:cs="Arial"/>
                <w:sz w:val="16"/>
                <w:szCs w:val="16"/>
              </w:rPr>
              <w:t>ulla osta che dovrà essere accompagnato alla domanda di immatricolazione</w:t>
            </w:r>
            <w:r>
              <w:rPr>
                <w:rFonts w:ascii="Arial" w:hAnsi="Arial" w:cs="Arial"/>
                <w:sz w:val="16"/>
                <w:szCs w:val="16"/>
              </w:rPr>
              <w:t xml:space="preserve"> ai fini dell’effettiva iscrizione al corso</w:t>
            </w:r>
            <w:r w:rsidR="00A16B24">
              <w:rPr>
                <w:rFonts w:ascii="Arial" w:hAnsi="Arial" w:cs="Arial"/>
                <w:sz w:val="16"/>
                <w:szCs w:val="16"/>
              </w:rPr>
              <w:t>.</w:t>
            </w:r>
          </w:p>
          <w:p w:rsidR="00F7421C" w:rsidRPr="003B6014" w:rsidRDefault="00F7421C" w:rsidP="00F14C4A">
            <w:pPr>
              <w:jc w:val="both"/>
              <w:rPr>
                <w:rFonts w:ascii="Arial" w:hAnsi="Arial" w:cs="Arial"/>
                <w:sz w:val="16"/>
                <w:szCs w:val="16"/>
              </w:rPr>
            </w:pPr>
            <w:smartTag w:uri="urn:schemas-microsoft-com:office:smarttags" w:element="PersonName">
              <w:smartTagPr>
                <w:attr w:name="ProductID" w:val="La Commissione Didattica"/>
              </w:smartTagPr>
              <w:r>
                <w:rPr>
                  <w:rFonts w:ascii="Arial" w:hAnsi="Arial" w:cs="Arial"/>
                  <w:sz w:val="16"/>
                  <w:szCs w:val="16"/>
                </w:rPr>
                <w:t xml:space="preserve">La </w:t>
              </w:r>
              <w:r w:rsidRPr="003B6014">
                <w:rPr>
                  <w:rFonts w:ascii="Arial" w:hAnsi="Arial" w:cs="Arial"/>
                  <w:sz w:val="16"/>
                  <w:szCs w:val="16"/>
                </w:rPr>
                <w:t>Commissione Didattica</w:t>
              </w:r>
            </w:smartTag>
            <w:r w:rsidRPr="003B6014">
              <w:rPr>
                <w:rFonts w:ascii="Arial" w:hAnsi="Arial" w:cs="Arial"/>
                <w:sz w:val="16"/>
                <w:szCs w:val="16"/>
              </w:rPr>
              <w:t xml:space="preserve"> </w:t>
            </w:r>
            <w:r>
              <w:rPr>
                <w:rFonts w:ascii="Arial" w:hAnsi="Arial" w:cs="Arial"/>
                <w:sz w:val="16"/>
                <w:szCs w:val="16"/>
              </w:rPr>
              <w:t>di Dipartimento</w:t>
            </w:r>
            <w:r w:rsidRPr="003B6014">
              <w:rPr>
                <w:rFonts w:ascii="Arial" w:hAnsi="Arial" w:cs="Arial"/>
                <w:sz w:val="16"/>
                <w:szCs w:val="16"/>
              </w:rPr>
              <w:t xml:space="preserve"> (o altro organo collegiale) provvede all’esame delle domande di valutazione, entro 30 giorni dalla loro presentazione, sulla base delle seguenti regole per la verifica del possesso dei requisiti curriculari. </w:t>
            </w:r>
          </w:p>
          <w:p w:rsidR="00313BB4" w:rsidRPr="0077043E" w:rsidRDefault="00F7421C" w:rsidP="00F14C4A">
            <w:pPr>
              <w:jc w:val="both"/>
              <w:rPr>
                <w:rFonts w:ascii="Arial" w:hAnsi="Arial" w:cs="Arial"/>
                <w:bCs/>
                <w:sz w:val="16"/>
                <w:szCs w:val="16"/>
              </w:rPr>
            </w:pPr>
            <w:r w:rsidRPr="003B6014">
              <w:rPr>
                <w:rFonts w:ascii="Arial" w:hAnsi="Arial" w:cs="Arial"/>
                <w:sz w:val="16"/>
                <w:szCs w:val="16"/>
              </w:rPr>
              <w:t>In termini generali, i requisiti curriculari corrispondono ai CFU, ai SSD e ai contenuti generali degli insegnamenti delle LT delle classi</w:t>
            </w:r>
            <w:r>
              <w:rPr>
                <w:rFonts w:ascii="Arial" w:hAnsi="Arial" w:cs="Arial"/>
                <w:sz w:val="16"/>
                <w:szCs w:val="16"/>
              </w:rPr>
              <w:t xml:space="preserve"> 17 e L-18 dell’Ateneo Genovese</w:t>
            </w:r>
            <w:r w:rsidR="00232B7B">
              <w:rPr>
                <w:rFonts w:ascii="Arial" w:hAnsi="Arial" w:cs="Arial"/>
                <w:sz w:val="16"/>
                <w:szCs w:val="16"/>
              </w:rPr>
              <w:t xml:space="preserve"> </w:t>
            </w:r>
            <w:r w:rsidR="00232B7B">
              <w:rPr>
                <w:rFonts w:ascii="Arial" w:hAnsi="Arial" w:cs="Arial"/>
                <w:color w:val="000000"/>
                <w:sz w:val="16"/>
                <w:szCs w:val="16"/>
              </w:rPr>
              <w:t>utili ai fini dell’ammissione dello studente alla LM</w:t>
            </w:r>
            <w:r>
              <w:rPr>
                <w:rFonts w:ascii="Arial" w:hAnsi="Arial" w:cs="Arial"/>
                <w:sz w:val="16"/>
                <w:szCs w:val="16"/>
              </w:rPr>
              <w:t>,</w:t>
            </w:r>
            <w:r w:rsidRPr="003B6014">
              <w:rPr>
                <w:rFonts w:ascii="Arial" w:hAnsi="Arial" w:cs="Arial"/>
                <w:sz w:val="16"/>
                <w:szCs w:val="16"/>
              </w:rPr>
              <w:t xml:space="preserve"> a cui si aggiungono CFU in SSD ritenuti fondamentali </w:t>
            </w:r>
            <w:r w:rsidRPr="003B6014">
              <w:rPr>
                <w:rFonts w:ascii="Arial" w:hAnsi="Arial" w:cs="Arial"/>
                <w:bCs/>
                <w:sz w:val="16"/>
                <w:szCs w:val="16"/>
              </w:rPr>
              <w:t>per affrontare le tematiche relative al trasporto marittimo</w:t>
            </w:r>
            <w:r>
              <w:rPr>
                <w:rFonts w:ascii="Arial" w:hAnsi="Arial" w:cs="Arial"/>
                <w:bCs/>
                <w:sz w:val="16"/>
                <w:szCs w:val="16"/>
              </w:rPr>
              <w:t>.</w:t>
            </w:r>
            <w:r>
              <w:rPr>
                <w:rFonts w:ascii="Arial" w:hAnsi="Arial" w:cs="Arial"/>
                <w:sz w:val="16"/>
                <w:szCs w:val="16"/>
              </w:rPr>
              <w:t xml:space="preserve"> </w:t>
            </w:r>
            <w:r w:rsidRPr="0077043E">
              <w:rPr>
                <w:rFonts w:ascii="Arial" w:hAnsi="Arial" w:cs="Arial"/>
                <w:bCs/>
                <w:sz w:val="16"/>
                <w:szCs w:val="16"/>
              </w:rPr>
              <w:t>Ad essi va</w:t>
            </w:r>
            <w:r>
              <w:rPr>
                <w:rFonts w:ascii="Arial" w:hAnsi="Arial" w:cs="Arial"/>
                <w:bCs/>
                <w:sz w:val="16"/>
                <w:szCs w:val="16"/>
              </w:rPr>
              <w:t xml:space="preserve"> aggiunta la capacità di uso degli </w:t>
            </w:r>
            <w:r w:rsidRPr="0077043E">
              <w:rPr>
                <w:rFonts w:ascii="Arial" w:hAnsi="Arial" w:cs="Arial"/>
                <w:bCs/>
                <w:sz w:val="16"/>
                <w:szCs w:val="16"/>
              </w:rPr>
              <w:t>strumenti e software</w:t>
            </w:r>
            <w:r>
              <w:rPr>
                <w:rFonts w:ascii="Arial" w:hAnsi="Arial" w:cs="Arial"/>
                <w:bCs/>
                <w:sz w:val="16"/>
                <w:szCs w:val="16"/>
              </w:rPr>
              <w:t xml:space="preserve"> informatici</w:t>
            </w:r>
            <w:r w:rsidRPr="0077043E">
              <w:rPr>
                <w:rFonts w:ascii="Arial" w:hAnsi="Arial" w:cs="Arial"/>
                <w:bCs/>
                <w:sz w:val="16"/>
                <w:szCs w:val="16"/>
              </w:rPr>
              <w:t xml:space="preserve"> per applicazioni economiche, aziendali, finanziarie e quantitative e della lingua inglese nella comprensione orale e scritta e nella comunicazione orale su temi economici, con riferimento al livello B1 del quadro di certificazione europea dei crediti formativi universitari.</w:t>
            </w:r>
          </w:p>
          <w:p w:rsidR="00F7421C" w:rsidRPr="003B6014" w:rsidRDefault="00F7421C" w:rsidP="00F14C4A">
            <w:pPr>
              <w:jc w:val="both"/>
              <w:rPr>
                <w:rFonts w:ascii="Arial" w:hAnsi="Arial" w:cs="Arial"/>
                <w:sz w:val="16"/>
                <w:szCs w:val="16"/>
              </w:rPr>
            </w:pPr>
            <w:r w:rsidRPr="003B6014">
              <w:rPr>
                <w:rFonts w:ascii="Arial" w:hAnsi="Arial" w:cs="Arial"/>
                <w:sz w:val="16"/>
                <w:szCs w:val="16"/>
              </w:rPr>
              <w:t>In particolare, si procederà alla verifica dei requisiti curriculari, acquisiti anche dopo la laurea, anche attraverso iscrizione a singole attività formative (ai sensi dell’art. 7 del Regolamento di Ateneo per gli Studenti)</w:t>
            </w:r>
            <w:r>
              <w:rPr>
                <w:rFonts w:ascii="Arial" w:hAnsi="Arial" w:cs="Arial"/>
                <w:sz w:val="16"/>
                <w:szCs w:val="16"/>
              </w:rPr>
              <w:t>,</w:t>
            </w:r>
            <w:r w:rsidRPr="003B6014">
              <w:rPr>
                <w:rFonts w:ascii="Arial" w:hAnsi="Arial" w:cs="Arial"/>
                <w:sz w:val="16"/>
                <w:szCs w:val="16"/>
              </w:rPr>
              <w:t xml:space="preserve"> accertando il possesso di:</w:t>
            </w:r>
          </w:p>
          <w:p w:rsidR="00551084" w:rsidRPr="002F6F33" w:rsidRDefault="00551084" w:rsidP="00551084">
            <w:pPr>
              <w:numPr>
                <w:ilvl w:val="0"/>
                <w:numId w:val="3"/>
              </w:numPr>
              <w:jc w:val="both"/>
              <w:rPr>
                <w:rFonts w:ascii="Arial" w:hAnsi="Arial" w:cs="Arial"/>
                <w:color w:val="000000"/>
                <w:sz w:val="16"/>
                <w:szCs w:val="16"/>
              </w:rPr>
            </w:pPr>
            <w:bookmarkStart w:id="3" w:name="_GoBack"/>
            <w:bookmarkEnd w:id="3"/>
            <w:r w:rsidRPr="002F6F33">
              <w:rPr>
                <w:rFonts w:ascii="Arial" w:hAnsi="Arial" w:cs="Arial"/>
                <w:sz w:val="16"/>
                <w:szCs w:val="16"/>
              </w:rPr>
              <w:t xml:space="preserve">almeno 12 </w:t>
            </w:r>
            <w:r w:rsidR="00CA6C6A" w:rsidRPr="002F6F33">
              <w:rPr>
                <w:rFonts w:ascii="Arial" w:hAnsi="Arial" w:cs="Arial"/>
                <w:sz w:val="16"/>
                <w:szCs w:val="16"/>
              </w:rPr>
              <w:t>CFU tra i SSD IUS/01, IUS/04, IUS/09,</w:t>
            </w:r>
            <w:r w:rsidR="00F7421C" w:rsidRPr="002F6F33">
              <w:rPr>
                <w:rFonts w:ascii="Arial" w:hAnsi="Arial" w:cs="Arial"/>
                <w:sz w:val="16"/>
                <w:szCs w:val="16"/>
              </w:rPr>
              <w:t xml:space="preserve"> IUS/10;</w:t>
            </w:r>
          </w:p>
          <w:p w:rsidR="00551084" w:rsidRPr="002F6F33" w:rsidRDefault="00551084" w:rsidP="00551084">
            <w:pPr>
              <w:numPr>
                <w:ilvl w:val="0"/>
                <w:numId w:val="3"/>
              </w:numPr>
              <w:jc w:val="both"/>
              <w:rPr>
                <w:rFonts w:ascii="Arial" w:hAnsi="Arial" w:cs="Arial"/>
                <w:color w:val="000000"/>
                <w:sz w:val="16"/>
                <w:szCs w:val="16"/>
              </w:rPr>
            </w:pPr>
            <w:r w:rsidRPr="002F6F33">
              <w:rPr>
                <w:rFonts w:ascii="Arial" w:hAnsi="Arial" w:cs="Arial"/>
                <w:sz w:val="16"/>
                <w:szCs w:val="16"/>
              </w:rPr>
              <w:t>almeno 6 CFU nel SSD IUS/06</w:t>
            </w:r>
          </w:p>
          <w:p w:rsidR="00551084" w:rsidRPr="002F6F33" w:rsidRDefault="00551084" w:rsidP="00F7421C">
            <w:pPr>
              <w:numPr>
                <w:ilvl w:val="0"/>
                <w:numId w:val="3"/>
              </w:numPr>
              <w:jc w:val="both"/>
              <w:rPr>
                <w:rFonts w:ascii="Arial" w:hAnsi="Arial" w:cs="Arial"/>
                <w:sz w:val="16"/>
                <w:szCs w:val="16"/>
              </w:rPr>
            </w:pPr>
            <w:r w:rsidRPr="002F6F33">
              <w:rPr>
                <w:rFonts w:ascii="Arial" w:hAnsi="Arial" w:cs="Arial"/>
                <w:sz w:val="16"/>
                <w:szCs w:val="16"/>
              </w:rPr>
              <w:t>almeno 6 CFU nel SSD SECS-P/01</w:t>
            </w:r>
          </w:p>
          <w:p w:rsidR="00551084" w:rsidRPr="002F6F33" w:rsidRDefault="00551084" w:rsidP="00F7421C">
            <w:pPr>
              <w:numPr>
                <w:ilvl w:val="0"/>
                <w:numId w:val="3"/>
              </w:numPr>
              <w:jc w:val="both"/>
              <w:rPr>
                <w:rFonts w:ascii="Arial" w:hAnsi="Arial" w:cs="Arial"/>
                <w:sz w:val="16"/>
                <w:szCs w:val="16"/>
              </w:rPr>
            </w:pPr>
            <w:r w:rsidRPr="002F6F33">
              <w:rPr>
                <w:rFonts w:ascii="Arial" w:hAnsi="Arial" w:cs="Arial"/>
                <w:sz w:val="16"/>
                <w:szCs w:val="16"/>
              </w:rPr>
              <w:t>almeno 6 CFU nel SSD SECS-P/06</w:t>
            </w:r>
          </w:p>
          <w:p w:rsidR="00551084" w:rsidRPr="002F6F33" w:rsidRDefault="00551084" w:rsidP="00F7421C">
            <w:pPr>
              <w:numPr>
                <w:ilvl w:val="0"/>
                <w:numId w:val="3"/>
              </w:numPr>
              <w:jc w:val="both"/>
              <w:rPr>
                <w:rFonts w:ascii="Arial" w:hAnsi="Arial" w:cs="Arial"/>
                <w:sz w:val="16"/>
                <w:szCs w:val="16"/>
              </w:rPr>
            </w:pPr>
            <w:r w:rsidRPr="002F6F33">
              <w:rPr>
                <w:rFonts w:ascii="Arial" w:hAnsi="Arial" w:cs="Arial"/>
                <w:sz w:val="16"/>
                <w:szCs w:val="16"/>
              </w:rPr>
              <w:t>almeno 15 CFU nel SSD SECS-P/07</w:t>
            </w:r>
          </w:p>
          <w:p w:rsidR="00551084" w:rsidRPr="002F6F33" w:rsidRDefault="00551084" w:rsidP="00F7421C">
            <w:pPr>
              <w:numPr>
                <w:ilvl w:val="0"/>
                <w:numId w:val="3"/>
              </w:numPr>
              <w:jc w:val="both"/>
              <w:rPr>
                <w:rFonts w:ascii="Arial" w:hAnsi="Arial" w:cs="Arial"/>
                <w:sz w:val="16"/>
                <w:szCs w:val="16"/>
              </w:rPr>
            </w:pPr>
            <w:r w:rsidRPr="002F6F33">
              <w:rPr>
                <w:rFonts w:ascii="Arial" w:hAnsi="Arial" w:cs="Arial"/>
                <w:sz w:val="16"/>
                <w:szCs w:val="16"/>
              </w:rPr>
              <w:t>almeno 18 CFU nel SSD SECS-P/08</w:t>
            </w:r>
          </w:p>
          <w:p w:rsidR="005419E0" w:rsidRPr="002F6F33" w:rsidRDefault="005419E0" w:rsidP="00F7421C">
            <w:pPr>
              <w:numPr>
                <w:ilvl w:val="0"/>
                <w:numId w:val="3"/>
              </w:numPr>
              <w:jc w:val="both"/>
              <w:rPr>
                <w:rFonts w:ascii="Arial" w:hAnsi="Arial" w:cs="Arial"/>
                <w:sz w:val="16"/>
                <w:szCs w:val="16"/>
              </w:rPr>
            </w:pPr>
            <w:r w:rsidRPr="002F6F33">
              <w:rPr>
                <w:rFonts w:ascii="Arial" w:hAnsi="Arial" w:cs="Arial"/>
                <w:sz w:val="16"/>
                <w:szCs w:val="16"/>
              </w:rPr>
              <w:t>almeno 6 CFU nel SSD MAT/09</w:t>
            </w:r>
          </w:p>
          <w:p w:rsidR="00F7421C" w:rsidRPr="002F6F33" w:rsidRDefault="00F7421C" w:rsidP="00F7421C">
            <w:pPr>
              <w:numPr>
                <w:ilvl w:val="0"/>
                <w:numId w:val="3"/>
              </w:numPr>
              <w:jc w:val="both"/>
              <w:rPr>
                <w:rFonts w:ascii="Arial" w:hAnsi="Arial" w:cs="Arial"/>
                <w:sz w:val="16"/>
                <w:szCs w:val="16"/>
                <w:lang w:val="en-US"/>
              </w:rPr>
            </w:pPr>
            <w:proofErr w:type="spellStart"/>
            <w:r w:rsidRPr="002F6F33">
              <w:rPr>
                <w:rFonts w:ascii="Arial" w:hAnsi="Arial" w:cs="Arial"/>
                <w:sz w:val="16"/>
                <w:szCs w:val="16"/>
                <w:lang w:val="en-US"/>
              </w:rPr>
              <w:t>almeno</w:t>
            </w:r>
            <w:proofErr w:type="spellEnd"/>
            <w:r w:rsidRPr="002F6F33">
              <w:rPr>
                <w:rFonts w:ascii="Arial" w:hAnsi="Arial" w:cs="Arial"/>
                <w:sz w:val="16"/>
                <w:szCs w:val="16"/>
                <w:lang w:val="en-US"/>
              </w:rPr>
              <w:t xml:space="preserve"> </w:t>
            </w:r>
            <w:r w:rsidR="005419E0" w:rsidRPr="002F6F33">
              <w:rPr>
                <w:rFonts w:ascii="Arial" w:hAnsi="Arial" w:cs="Arial"/>
                <w:sz w:val="16"/>
                <w:szCs w:val="16"/>
                <w:lang w:val="en-US"/>
              </w:rPr>
              <w:t xml:space="preserve">9 CFU </w:t>
            </w:r>
            <w:proofErr w:type="spellStart"/>
            <w:r w:rsidR="005419E0" w:rsidRPr="002F6F33">
              <w:rPr>
                <w:rFonts w:ascii="Arial" w:hAnsi="Arial" w:cs="Arial"/>
                <w:sz w:val="16"/>
                <w:szCs w:val="16"/>
                <w:lang w:val="en-US"/>
              </w:rPr>
              <w:t>tra</w:t>
            </w:r>
            <w:proofErr w:type="spellEnd"/>
            <w:r w:rsidR="005419E0" w:rsidRPr="002F6F33">
              <w:rPr>
                <w:rFonts w:ascii="Arial" w:hAnsi="Arial" w:cs="Arial"/>
                <w:sz w:val="16"/>
                <w:szCs w:val="16"/>
                <w:lang w:val="en-US"/>
              </w:rPr>
              <w:t xml:space="preserve"> </w:t>
            </w:r>
            <w:proofErr w:type="spellStart"/>
            <w:r w:rsidR="005419E0" w:rsidRPr="002F6F33">
              <w:rPr>
                <w:rFonts w:ascii="Arial" w:hAnsi="Arial" w:cs="Arial"/>
                <w:sz w:val="16"/>
                <w:szCs w:val="16"/>
                <w:lang w:val="en-US"/>
              </w:rPr>
              <w:t>i</w:t>
            </w:r>
            <w:proofErr w:type="spellEnd"/>
            <w:r w:rsidR="005419E0" w:rsidRPr="002F6F33">
              <w:rPr>
                <w:rFonts w:ascii="Arial" w:hAnsi="Arial" w:cs="Arial"/>
                <w:sz w:val="16"/>
                <w:szCs w:val="16"/>
                <w:lang w:val="en-US"/>
              </w:rPr>
              <w:t xml:space="preserve"> SSD</w:t>
            </w:r>
            <w:r w:rsidR="005D4D2A" w:rsidRPr="002F6F33">
              <w:rPr>
                <w:rFonts w:ascii="Arial" w:hAnsi="Arial" w:cs="Arial"/>
                <w:sz w:val="16"/>
                <w:szCs w:val="16"/>
                <w:lang w:val="en-US"/>
              </w:rPr>
              <w:t xml:space="preserve"> SECS-S/01,</w:t>
            </w:r>
            <w:r w:rsidRPr="002F6F33">
              <w:rPr>
                <w:rFonts w:ascii="Arial" w:hAnsi="Arial" w:cs="Arial"/>
                <w:sz w:val="16"/>
                <w:szCs w:val="16"/>
                <w:lang w:val="en-US"/>
              </w:rPr>
              <w:t xml:space="preserve"> SECS-S/03 e SECS-S/06.</w:t>
            </w:r>
          </w:p>
          <w:p w:rsidR="00551084" w:rsidRDefault="00551084" w:rsidP="00551084">
            <w:pPr>
              <w:jc w:val="both"/>
              <w:rPr>
                <w:rFonts w:ascii="Arial" w:hAnsi="Arial" w:cs="Arial"/>
                <w:sz w:val="16"/>
                <w:szCs w:val="16"/>
                <w:highlight w:val="yellow"/>
                <w:lang w:val="en-US"/>
              </w:rPr>
            </w:pPr>
          </w:p>
          <w:p w:rsidR="00551084" w:rsidRPr="00551084" w:rsidRDefault="00551084" w:rsidP="00551084">
            <w:pPr>
              <w:jc w:val="both"/>
              <w:rPr>
                <w:rFonts w:ascii="Arial" w:hAnsi="Arial" w:cs="Arial"/>
                <w:sz w:val="16"/>
                <w:szCs w:val="16"/>
                <w:highlight w:val="yellow"/>
                <w:lang w:val="en-US"/>
              </w:rPr>
            </w:pPr>
          </w:p>
          <w:p w:rsidR="00F7421C" w:rsidRPr="003B6014" w:rsidRDefault="00F7421C" w:rsidP="00F14C4A">
            <w:pPr>
              <w:jc w:val="both"/>
              <w:rPr>
                <w:rFonts w:ascii="Arial" w:hAnsi="Arial" w:cs="Arial"/>
                <w:sz w:val="16"/>
                <w:szCs w:val="16"/>
              </w:rPr>
            </w:pPr>
            <w:r w:rsidRPr="00313BB4">
              <w:rPr>
                <w:rFonts w:ascii="Arial" w:hAnsi="Arial" w:cs="Arial"/>
                <w:sz w:val="16"/>
                <w:szCs w:val="16"/>
              </w:rPr>
              <w:t>Nel caso nella verifica dei SSD si riscontri una mancanza di CFU</w:t>
            </w:r>
            <w:r w:rsidRPr="003B6014">
              <w:rPr>
                <w:rFonts w:ascii="Arial" w:hAnsi="Arial" w:cs="Arial"/>
                <w:sz w:val="16"/>
                <w:szCs w:val="16"/>
              </w:rPr>
              <w:t xml:space="preserve"> nei SSD sopra indicati, il nulla osta non sarà rilasciato. Annualmente </w:t>
            </w:r>
            <w:r>
              <w:rPr>
                <w:rFonts w:ascii="Arial" w:hAnsi="Arial" w:cs="Arial"/>
                <w:sz w:val="16"/>
                <w:szCs w:val="16"/>
              </w:rPr>
              <w:t>il Dipartimento</w:t>
            </w:r>
            <w:r w:rsidRPr="003B6014">
              <w:rPr>
                <w:rFonts w:ascii="Arial" w:hAnsi="Arial" w:cs="Arial"/>
                <w:sz w:val="16"/>
                <w:szCs w:val="16"/>
              </w:rPr>
              <w:t xml:space="preserve"> si riserva di dare pubblicazione di eventuali ulteriori indicazioni in merito su Manifesto degli Studi. .</w:t>
            </w:r>
          </w:p>
          <w:p w:rsidR="00F7421C" w:rsidRDefault="00F7421C" w:rsidP="00F14C4A">
            <w:pPr>
              <w:rPr>
                <w:rFonts w:ascii="Arial" w:hAnsi="Arial" w:cs="Arial"/>
                <w:b/>
                <w:sz w:val="16"/>
                <w:szCs w:val="16"/>
              </w:rPr>
            </w:pPr>
          </w:p>
          <w:p w:rsidR="00F7421C" w:rsidRPr="003B6014" w:rsidRDefault="00F7421C" w:rsidP="00F14C4A">
            <w:pPr>
              <w:rPr>
                <w:rFonts w:ascii="Arial" w:hAnsi="Arial" w:cs="Arial"/>
                <w:b/>
                <w:sz w:val="16"/>
                <w:szCs w:val="16"/>
              </w:rPr>
            </w:pPr>
            <w:r w:rsidRPr="003B6014">
              <w:rPr>
                <w:rFonts w:ascii="Arial" w:hAnsi="Arial" w:cs="Arial"/>
                <w:b/>
                <w:sz w:val="16"/>
                <w:szCs w:val="16"/>
              </w:rPr>
              <w:t>Verifica adeguatezza preparazione personale</w:t>
            </w:r>
          </w:p>
          <w:p w:rsidR="00F7421C" w:rsidRPr="00D7515E" w:rsidRDefault="00F7421C" w:rsidP="00F14C4A">
            <w:pPr>
              <w:rPr>
                <w:rFonts w:ascii="Arial" w:hAnsi="Arial" w:cs="Arial"/>
                <w:sz w:val="16"/>
                <w:szCs w:val="16"/>
              </w:rPr>
            </w:pPr>
            <w:r w:rsidRPr="00D7515E">
              <w:rPr>
                <w:rFonts w:ascii="Arial" w:hAnsi="Arial" w:cs="Arial"/>
                <w:sz w:val="16"/>
                <w:szCs w:val="16"/>
              </w:rPr>
              <w:t>Con una votazione uguale o superiore a 99/110</w:t>
            </w:r>
            <w:r w:rsidR="00E967C7">
              <w:rPr>
                <w:rFonts w:ascii="Arial" w:hAnsi="Arial" w:cs="Arial"/>
                <w:sz w:val="16"/>
                <w:szCs w:val="16"/>
              </w:rPr>
              <w:t xml:space="preserve"> (o votazione equivalente per i titoli di studio conseguiti </w:t>
            </w:r>
            <w:r w:rsidR="00232B7B">
              <w:rPr>
                <w:rFonts w:ascii="Arial" w:hAnsi="Arial" w:cs="Arial"/>
                <w:sz w:val="16"/>
                <w:szCs w:val="16"/>
              </w:rPr>
              <w:t xml:space="preserve">all’estero) </w:t>
            </w:r>
            <w:r w:rsidR="00232B7B" w:rsidRPr="00D7515E">
              <w:rPr>
                <w:rFonts w:ascii="Arial" w:hAnsi="Arial" w:cs="Arial"/>
                <w:sz w:val="16"/>
                <w:szCs w:val="16"/>
              </w:rPr>
              <w:t>la</w:t>
            </w:r>
            <w:r w:rsidRPr="00D7515E">
              <w:rPr>
                <w:rFonts w:ascii="Arial" w:hAnsi="Arial" w:cs="Arial"/>
                <w:sz w:val="16"/>
                <w:szCs w:val="16"/>
              </w:rPr>
              <w:t xml:space="preserve"> verifica della </w:t>
            </w:r>
            <w:r w:rsidRPr="00D7515E">
              <w:rPr>
                <w:rFonts w:ascii="Arial" w:hAnsi="Arial" w:cs="Arial"/>
                <w:sz w:val="16"/>
                <w:szCs w:val="16"/>
              </w:rPr>
              <w:lastRenderedPageBreak/>
              <w:t>preparazione individuale si considera virtualmente assolta</w:t>
            </w:r>
            <w:r w:rsidR="00E967C7">
              <w:rPr>
                <w:rFonts w:ascii="Arial" w:hAnsi="Arial" w:cs="Arial"/>
                <w:sz w:val="16"/>
                <w:szCs w:val="16"/>
              </w:rPr>
              <w:t>.</w:t>
            </w:r>
          </w:p>
          <w:p w:rsidR="00F7421C" w:rsidRDefault="00F7421C" w:rsidP="00F14C4A">
            <w:pPr>
              <w:rPr>
                <w:rFonts w:ascii="Arial" w:hAnsi="Arial" w:cs="Arial"/>
                <w:sz w:val="16"/>
                <w:szCs w:val="16"/>
              </w:rPr>
            </w:pPr>
            <w:r>
              <w:rPr>
                <w:rFonts w:ascii="Arial" w:hAnsi="Arial" w:cs="Arial"/>
                <w:sz w:val="16"/>
                <w:szCs w:val="16"/>
              </w:rPr>
              <w:t>I</w:t>
            </w:r>
            <w:r w:rsidRPr="00D7515E">
              <w:rPr>
                <w:rFonts w:ascii="Arial" w:hAnsi="Arial" w:cs="Arial"/>
                <w:sz w:val="16"/>
                <w:szCs w:val="16"/>
              </w:rPr>
              <w:t xml:space="preserve"> laureandi con tutti gli esami completati e i laureati (laureati in continuità, laureati non in continuità in altre LT di Economia di Genova e laureati in altri Atenei</w:t>
            </w:r>
            <w:r w:rsidR="00E967C7">
              <w:rPr>
                <w:rFonts w:ascii="Arial" w:hAnsi="Arial" w:cs="Arial"/>
                <w:sz w:val="16"/>
                <w:szCs w:val="16"/>
              </w:rPr>
              <w:t xml:space="preserve"> italiani o stranieri</w:t>
            </w:r>
            <w:r w:rsidRPr="00D7515E">
              <w:rPr>
                <w:rFonts w:ascii="Arial" w:hAnsi="Arial" w:cs="Arial"/>
                <w:sz w:val="16"/>
                <w:szCs w:val="16"/>
              </w:rPr>
              <w:t>) con una votazione inferiore a 99/110</w:t>
            </w:r>
            <w:r>
              <w:rPr>
                <w:rFonts w:ascii="Arial" w:hAnsi="Arial" w:cs="Arial"/>
                <w:sz w:val="16"/>
                <w:szCs w:val="16"/>
              </w:rPr>
              <w:t xml:space="preserve"> dovranno preimmatricolarsi per sostenere l</w:t>
            </w:r>
            <w:r w:rsidRPr="00D7515E">
              <w:rPr>
                <w:rFonts w:ascii="Arial" w:hAnsi="Arial" w:cs="Arial"/>
                <w:sz w:val="16"/>
                <w:szCs w:val="16"/>
              </w:rPr>
              <w:t xml:space="preserve">a verifica </w:t>
            </w:r>
            <w:r>
              <w:rPr>
                <w:rFonts w:ascii="Arial" w:hAnsi="Arial" w:cs="Arial"/>
                <w:sz w:val="16"/>
                <w:szCs w:val="16"/>
              </w:rPr>
              <w:t xml:space="preserve">che </w:t>
            </w:r>
            <w:r w:rsidRPr="00D7515E">
              <w:rPr>
                <w:rFonts w:ascii="Arial" w:hAnsi="Arial" w:cs="Arial"/>
                <w:sz w:val="16"/>
                <w:szCs w:val="16"/>
              </w:rPr>
              <w:t>v</w:t>
            </w:r>
            <w:r>
              <w:rPr>
                <w:rFonts w:ascii="Arial" w:hAnsi="Arial" w:cs="Arial"/>
                <w:sz w:val="16"/>
                <w:szCs w:val="16"/>
              </w:rPr>
              <w:t>errà</w:t>
            </w:r>
            <w:r w:rsidRPr="00D7515E">
              <w:rPr>
                <w:rFonts w:ascii="Arial" w:hAnsi="Arial" w:cs="Arial"/>
                <w:sz w:val="16"/>
                <w:szCs w:val="16"/>
              </w:rPr>
              <w:t xml:space="preserve"> effettuata tramite un test </w:t>
            </w:r>
            <w:r>
              <w:rPr>
                <w:rFonts w:ascii="Arial" w:hAnsi="Arial" w:cs="Arial"/>
                <w:sz w:val="16"/>
                <w:szCs w:val="16"/>
              </w:rPr>
              <w:t>e</w:t>
            </w:r>
            <w:r w:rsidRPr="00D7515E">
              <w:rPr>
                <w:rFonts w:ascii="Arial" w:hAnsi="Arial" w:cs="Arial"/>
                <w:sz w:val="16"/>
                <w:szCs w:val="16"/>
              </w:rPr>
              <w:t xml:space="preserve"> verterà sulle nozioni fondamentali necessarie alla LM </w:t>
            </w:r>
            <w:r>
              <w:rPr>
                <w:rFonts w:ascii="Arial" w:hAnsi="Arial" w:cs="Arial"/>
                <w:sz w:val="16"/>
                <w:szCs w:val="16"/>
              </w:rPr>
              <w:t>EMMP</w:t>
            </w:r>
            <w:r w:rsidRPr="00D7515E">
              <w:rPr>
                <w:rFonts w:ascii="Arial" w:hAnsi="Arial" w:cs="Arial"/>
                <w:sz w:val="16"/>
                <w:szCs w:val="16"/>
              </w:rPr>
              <w:t>, secondo una lista di argomenti resa</w:t>
            </w:r>
            <w:r w:rsidRPr="00D7515E">
              <w:rPr>
                <w:rFonts w:ascii="Arial" w:hAnsi="Arial" w:cs="Arial"/>
                <w:color w:val="0000FF"/>
                <w:sz w:val="16"/>
                <w:szCs w:val="16"/>
              </w:rPr>
              <w:t xml:space="preserve"> </w:t>
            </w:r>
            <w:r w:rsidRPr="00D7515E">
              <w:rPr>
                <w:rFonts w:ascii="Arial" w:hAnsi="Arial" w:cs="Arial"/>
                <w:sz w:val="16"/>
                <w:szCs w:val="16"/>
              </w:rPr>
              <w:t xml:space="preserve">disponibile agli studenti stessi. </w:t>
            </w:r>
            <w:smartTag w:uri="urn:schemas-microsoft-com:office:smarttags" w:element="PersonName">
              <w:smartTagPr>
                <w:attr w:name="ProductID" w:val="La Commissione"/>
              </w:smartTagPr>
              <w:r w:rsidRPr="00D7515E">
                <w:rPr>
                  <w:rFonts w:ascii="Arial" w:hAnsi="Arial" w:cs="Arial"/>
                  <w:sz w:val="16"/>
                  <w:szCs w:val="16"/>
                </w:rPr>
                <w:t>La Commissione</w:t>
              </w:r>
            </w:smartTag>
            <w:r w:rsidRPr="00D7515E">
              <w:rPr>
                <w:rFonts w:ascii="Arial" w:hAnsi="Arial" w:cs="Arial"/>
                <w:sz w:val="16"/>
                <w:szCs w:val="16"/>
              </w:rPr>
              <w:t xml:space="preserve"> esaminatrice, nominata dal Consiglio di </w:t>
            </w:r>
            <w:r>
              <w:rPr>
                <w:rFonts w:ascii="Arial" w:hAnsi="Arial" w:cs="Arial"/>
                <w:sz w:val="16"/>
                <w:szCs w:val="16"/>
              </w:rPr>
              <w:t>Corso di Studio</w:t>
            </w:r>
            <w:r w:rsidRPr="00D7515E">
              <w:rPr>
                <w:rFonts w:ascii="Arial" w:hAnsi="Arial" w:cs="Arial"/>
                <w:sz w:val="16"/>
                <w:szCs w:val="16"/>
              </w:rPr>
              <w:t>, dichiarerà non idoneo chi dimostrerà lacune gravi.  La non idoneità preclude l’iscrizione al corso</w:t>
            </w:r>
            <w:r>
              <w:rPr>
                <w:rFonts w:ascii="Arial" w:hAnsi="Arial" w:cs="Arial"/>
                <w:sz w:val="16"/>
                <w:szCs w:val="16"/>
              </w:rPr>
              <w:t xml:space="preserve"> e</w:t>
            </w:r>
            <w:r w:rsidRPr="00D7515E">
              <w:rPr>
                <w:rFonts w:ascii="Arial" w:hAnsi="Arial" w:cs="Arial"/>
                <w:sz w:val="16"/>
                <w:szCs w:val="16"/>
              </w:rPr>
              <w:t xml:space="preserve"> lo studente </w:t>
            </w:r>
            <w:r>
              <w:rPr>
                <w:rFonts w:ascii="Arial" w:hAnsi="Arial" w:cs="Arial"/>
                <w:sz w:val="16"/>
                <w:szCs w:val="16"/>
              </w:rPr>
              <w:t>p</w:t>
            </w:r>
            <w:r w:rsidRPr="00D7515E">
              <w:rPr>
                <w:rFonts w:ascii="Arial" w:hAnsi="Arial" w:cs="Arial"/>
                <w:sz w:val="16"/>
                <w:szCs w:val="16"/>
              </w:rPr>
              <w:t>o</w:t>
            </w:r>
            <w:r>
              <w:rPr>
                <w:rFonts w:ascii="Arial" w:hAnsi="Arial" w:cs="Arial"/>
                <w:sz w:val="16"/>
                <w:szCs w:val="16"/>
              </w:rPr>
              <w:t>t</w:t>
            </w:r>
            <w:r w:rsidRPr="00D7515E">
              <w:rPr>
                <w:rFonts w:ascii="Arial" w:hAnsi="Arial" w:cs="Arial"/>
                <w:sz w:val="16"/>
                <w:szCs w:val="16"/>
              </w:rPr>
              <w:t xml:space="preserve">rà ripetere la verifica fino al conseguimento dell’idoneità stessa. </w:t>
            </w:r>
          </w:p>
          <w:p w:rsidR="00F7421C" w:rsidRPr="003B6014" w:rsidRDefault="00F7421C" w:rsidP="00F14C4A">
            <w:pPr>
              <w:jc w:val="both"/>
              <w:rPr>
                <w:rFonts w:ascii="Arial" w:hAnsi="Arial" w:cs="Arial"/>
                <w:sz w:val="16"/>
                <w:szCs w:val="16"/>
              </w:rPr>
            </w:pPr>
            <w:r>
              <w:rPr>
                <w:rFonts w:ascii="Arial" w:hAnsi="Arial" w:cs="Arial"/>
                <w:sz w:val="16"/>
                <w:szCs w:val="16"/>
              </w:rPr>
              <w:t>I test verranno svolti nei seguenti mesi: settembre, ottobre, novembre, gennaio e febbraio nelle date pubblicate annualmente sul manifesto degli studi e sul sito di Dipartimento.</w:t>
            </w:r>
          </w:p>
        </w:tc>
      </w:tr>
      <w:tr w:rsidR="00F7421C" w:rsidRPr="003B6014" w:rsidTr="00F14C4A">
        <w:trPr>
          <w:jc w:val="center"/>
        </w:trPr>
        <w:tc>
          <w:tcPr>
            <w:tcW w:w="1510" w:type="pct"/>
          </w:tcPr>
          <w:p w:rsidR="00F7421C" w:rsidRPr="003B6014" w:rsidRDefault="00F7421C" w:rsidP="00F14C4A">
            <w:pPr>
              <w:rPr>
                <w:rFonts w:ascii="Arial" w:hAnsi="Arial" w:cs="Arial"/>
                <w:sz w:val="16"/>
                <w:szCs w:val="16"/>
              </w:rPr>
            </w:pPr>
            <w:r w:rsidRPr="003B6014">
              <w:rPr>
                <w:rFonts w:ascii="Arial" w:hAnsi="Arial" w:cs="Arial"/>
                <w:sz w:val="16"/>
                <w:szCs w:val="16"/>
              </w:rPr>
              <w:lastRenderedPageBreak/>
              <w:t>Art. 3</w:t>
            </w:r>
          </w:p>
          <w:p w:rsidR="00F7421C" w:rsidRPr="003B6014" w:rsidRDefault="00F7421C" w:rsidP="00F14C4A">
            <w:pPr>
              <w:rPr>
                <w:rFonts w:ascii="Arial" w:hAnsi="Arial" w:cs="Arial"/>
                <w:b/>
                <w:sz w:val="16"/>
                <w:szCs w:val="16"/>
              </w:rPr>
            </w:pPr>
            <w:r w:rsidRPr="003B6014">
              <w:rPr>
                <w:rFonts w:ascii="Arial" w:hAnsi="Arial" w:cs="Arial"/>
                <w:b/>
                <w:sz w:val="16"/>
                <w:szCs w:val="16"/>
              </w:rPr>
              <w:t>Attività formative</w:t>
            </w:r>
          </w:p>
          <w:p w:rsidR="00F7421C" w:rsidRPr="003B6014" w:rsidRDefault="00F7421C" w:rsidP="00F14C4A">
            <w:pPr>
              <w:rPr>
                <w:rFonts w:ascii="Arial" w:hAnsi="Arial" w:cs="Arial"/>
                <w:b/>
                <w:sz w:val="16"/>
                <w:szCs w:val="16"/>
              </w:rPr>
            </w:pPr>
          </w:p>
          <w:p w:rsidR="00F7421C" w:rsidRPr="003B6014" w:rsidRDefault="00F7421C" w:rsidP="00F14C4A">
            <w:pPr>
              <w:rPr>
                <w:rFonts w:ascii="Arial" w:hAnsi="Arial" w:cs="Arial"/>
                <w:sz w:val="16"/>
                <w:szCs w:val="16"/>
              </w:rPr>
            </w:pPr>
          </w:p>
        </w:tc>
        <w:tc>
          <w:tcPr>
            <w:tcW w:w="3490" w:type="pct"/>
          </w:tcPr>
          <w:p w:rsidR="00F7421C" w:rsidRPr="003B6014" w:rsidRDefault="00F7421C" w:rsidP="00F14C4A">
            <w:pPr>
              <w:jc w:val="both"/>
              <w:rPr>
                <w:rFonts w:ascii="Arial" w:hAnsi="Arial" w:cs="Arial"/>
                <w:sz w:val="16"/>
                <w:szCs w:val="16"/>
              </w:rPr>
            </w:pPr>
            <w:r w:rsidRPr="003B6014">
              <w:rPr>
                <w:rFonts w:ascii="Arial" w:hAnsi="Arial" w:cs="Arial"/>
                <w:sz w:val="16"/>
                <w:szCs w:val="16"/>
              </w:rPr>
              <w:t>Le attività formative offerte comprendono: insegnamenti, seminari, tirocini, altre attività (culturali, relazionali, informatiche, linguistiche) volte all’acquisizione di conoscenze e competenze complementari alla formazione istituzionale impartita, secondo quando stabilito per ogni anno accademico nel Manifesto degli studi.</w:t>
            </w:r>
          </w:p>
          <w:p w:rsidR="00E967C7" w:rsidRDefault="00F7421C" w:rsidP="00E967C7">
            <w:pPr>
              <w:pStyle w:val="corpodeltesto"/>
              <w:jc w:val="both"/>
              <w:rPr>
                <w:rFonts w:cs="Arial"/>
                <w:sz w:val="16"/>
                <w:szCs w:val="16"/>
              </w:rPr>
            </w:pPr>
            <w:r w:rsidRPr="003B6014">
              <w:rPr>
                <w:rFonts w:cs="Arial"/>
                <w:sz w:val="16"/>
                <w:szCs w:val="16"/>
              </w:rPr>
              <w:t>L’offerta formativa, l’elenco degli insegnamenti attivabili e delle altre attività formative, con i corrispondenti numeri di CFU e l’eventuale articolazione in moduli, sono riportati in allegato.</w:t>
            </w:r>
            <w:r w:rsidR="00E967C7" w:rsidRPr="003B6014">
              <w:rPr>
                <w:rFonts w:cs="Arial"/>
                <w:sz w:val="16"/>
                <w:szCs w:val="16"/>
              </w:rPr>
              <w:t xml:space="preserve"> </w:t>
            </w:r>
          </w:p>
          <w:p w:rsidR="00E967C7" w:rsidRPr="003B6014" w:rsidRDefault="00E967C7" w:rsidP="00E967C7">
            <w:pPr>
              <w:pStyle w:val="corpodeltesto"/>
              <w:jc w:val="both"/>
              <w:rPr>
                <w:rFonts w:cs="Arial"/>
                <w:sz w:val="16"/>
                <w:szCs w:val="16"/>
              </w:rPr>
            </w:pPr>
            <w:r w:rsidRPr="003B6014">
              <w:rPr>
                <w:rFonts w:cs="Arial"/>
                <w:sz w:val="16"/>
                <w:szCs w:val="16"/>
              </w:rPr>
              <w:t>La frazione dell’impegno orario complessivo riservato allo studio personale è pari allo 68%, esclusi i casi di attività formative a</w:t>
            </w:r>
            <w:r w:rsidR="00232B7B">
              <w:rPr>
                <w:rFonts w:cs="Arial"/>
                <w:sz w:val="16"/>
                <w:szCs w:val="16"/>
              </w:rPr>
              <w:t>d</w:t>
            </w:r>
            <w:r w:rsidRPr="003B6014">
              <w:rPr>
                <w:rFonts w:cs="Arial"/>
                <w:sz w:val="16"/>
                <w:szCs w:val="16"/>
              </w:rPr>
              <w:t xml:space="preserve"> elevato contenuto interattivo in aula. </w:t>
            </w:r>
          </w:p>
          <w:p w:rsidR="00F7421C" w:rsidRPr="003B6014" w:rsidRDefault="00F7421C" w:rsidP="00F14C4A">
            <w:pPr>
              <w:jc w:val="both"/>
              <w:rPr>
                <w:rFonts w:ascii="Arial" w:hAnsi="Arial" w:cs="Arial"/>
                <w:sz w:val="16"/>
                <w:szCs w:val="16"/>
              </w:rPr>
            </w:pPr>
            <w:r w:rsidRPr="003B6014">
              <w:rPr>
                <w:rFonts w:ascii="Arial" w:hAnsi="Arial" w:cs="Arial"/>
                <w:sz w:val="16"/>
                <w:szCs w:val="16"/>
              </w:rPr>
              <w:t>Il Corso non prevede un numero minimo di crediti acquisibile in tempi determinati da studenti iscritti a tempo parziale.</w:t>
            </w:r>
          </w:p>
          <w:p w:rsidR="00F7421C" w:rsidRPr="003B6014" w:rsidRDefault="00F7421C" w:rsidP="00F14C4A">
            <w:pPr>
              <w:jc w:val="both"/>
              <w:rPr>
                <w:rFonts w:ascii="Arial" w:hAnsi="Arial" w:cs="Arial"/>
                <w:sz w:val="16"/>
                <w:szCs w:val="16"/>
              </w:rPr>
            </w:pPr>
            <w:r w:rsidRPr="003B6014">
              <w:rPr>
                <w:rFonts w:ascii="Arial" w:hAnsi="Arial" w:cs="Arial"/>
                <w:sz w:val="16"/>
                <w:szCs w:val="16"/>
              </w:rPr>
              <w:t>Il corso di studi può procedere alla verifica periodica dei crediti acquisiti e può prevedere prove integrative, qualora siano riconosciuti obsoleti i contenuti essenziali, culturali e professionali degli insegnamenti.</w:t>
            </w:r>
          </w:p>
          <w:p w:rsidR="00F7421C" w:rsidRPr="003B6014" w:rsidRDefault="00F7421C" w:rsidP="00F14C4A">
            <w:pPr>
              <w:pStyle w:val="corpodeltesto"/>
              <w:spacing w:before="120"/>
              <w:jc w:val="both"/>
              <w:rPr>
                <w:rFonts w:cs="Arial"/>
                <w:sz w:val="16"/>
                <w:szCs w:val="16"/>
              </w:rPr>
            </w:pPr>
          </w:p>
        </w:tc>
      </w:tr>
      <w:tr w:rsidR="00F7421C" w:rsidRPr="003B6014" w:rsidTr="00F14C4A">
        <w:trPr>
          <w:jc w:val="center"/>
        </w:trPr>
        <w:tc>
          <w:tcPr>
            <w:tcW w:w="1510" w:type="pct"/>
          </w:tcPr>
          <w:p w:rsidR="00F7421C" w:rsidRPr="003B6014" w:rsidRDefault="00F7421C" w:rsidP="00F14C4A">
            <w:pPr>
              <w:rPr>
                <w:rFonts w:ascii="Arial" w:hAnsi="Arial" w:cs="Arial"/>
                <w:sz w:val="16"/>
                <w:szCs w:val="16"/>
              </w:rPr>
            </w:pPr>
            <w:r w:rsidRPr="003B6014">
              <w:rPr>
                <w:rFonts w:ascii="Arial" w:hAnsi="Arial" w:cs="Arial"/>
                <w:sz w:val="16"/>
                <w:szCs w:val="16"/>
              </w:rPr>
              <w:t>Art. 4</w:t>
            </w:r>
          </w:p>
          <w:p w:rsidR="00F7421C" w:rsidRPr="003B6014" w:rsidRDefault="00F7421C" w:rsidP="00F14C4A">
            <w:pPr>
              <w:rPr>
                <w:rFonts w:ascii="Arial" w:hAnsi="Arial" w:cs="Arial"/>
                <w:b/>
                <w:sz w:val="16"/>
                <w:szCs w:val="16"/>
              </w:rPr>
            </w:pPr>
            <w:r w:rsidRPr="003B6014">
              <w:rPr>
                <w:rFonts w:ascii="Arial" w:hAnsi="Arial" w:cs="Arial"/>
                <w:b/>
                <w:sz w:val="16"/>
                <w:szCs w:val="16"/>
              </w:rPr>
              <w:t>Curricula</w:t>
            </w:r>
          </w:p>
          <w:p w:rsidR="00F7421C" w:rsidRPr="003B6014" w:rsidRDefault="00F7421C" w:rsidP="00F14C4A">
            <w:pPr>
              <w:rPr>
                <w:rFonts w:ascii="Arial" w:hAnsi="Arial" w:cs="Arial"/>
                <w:sz w:val="16"/>
                <w:szCs w:val="16"/>
              </w:rPr>
            </w:pPr>
          </w:p>
        </w:tc>
        <w:tc>
          <w:tcPr>
            <w:tcW w:w="3490" w:type="pct"/>
          </w:tcPr>
          <w:p w:rsidR="00F7421C" w:rsidRPr="003B6014" w:rsidRDefault="00F7421C" w:rsidP="00F14C4A">
            <w:pPr>
              <w:pStyle w:val="corpodeltesto"/>
              <w:jc w:val="both"/>
              <w:rPr>
                <w:rFonts w:cs="Arial"/>
                <w:color w:val="FF0000"/>
                <w:sz w:val="16"/>
                <w:szCs w:val="16"/>
              </w:rPr>
            </w:pPr>
            <w:r w:rsidRPr="003B6014">
              <w:rPr>
                <w:rFonts w:cs="Arial"/>
                <w:sz w:val="16"/>
                <w:szCs w:val="16"/>
              </w:rPr>
              <w:t>Il corso di LM EMMP è articolato in un unico curriculum che prevede alcuni insegnamenti a scelta.</w:t>
            </w:r>
          </w:p>
        </w:tc>
      </w:tr>
      <w:tr w:rsidR="00F7421C" w:rsidRPr="003B6014" w:rsidTr="00F14C4A">
        <w:trPr>
          <w:jc w:val="center"/>
        </w:trPr>
        <w:tc>
          <w:tcPr>
            <w:tcW w:w="1510" w:type="pct"/>
          </w:tcPr>
          <w:p w:rsidR="00F7421C" w:rsidRPr="003B6014" w:rsidRDefault="00F7421C" w:rsidP="00F14C4A">
            <w:pPr>
              <w:rPr>
                <w:rFonts w:ascii="Arial" w:hAnsi="Arial" w:cs="Arial"/>
                <w:sz w:val="16"/>
                <w:szCs w:val="16"/>
              </w:rPr>
            </w:pPr>
            <w:r w:rsidRPr="003B6014">
              <w:rPr>
                <w:rFonts w:ascii="Arial" w:hAnsi="Arial" w:cs="Arial"/>
                <w:sz w:val="16"/>
                <w:szCs w:val="16"/>
              </w:rPr>
              <w:t>Art. 5</w:t>
            </w:r>
          </w:p>
          <w:p w:rsidR="00F7421C" w:rsidRPr="003B6014" w:rsidRDefault="00F7421C" w:rsidP="00F14C4A">
            <w:pPr>
              <w:rPr>
                <w:rFonts w:ascii="Arial" w:hAnsi="Arial" w:cs="Arial"/>
                <w:b/>
                <w:sz w:val="16"/>
                <w:szCs w:val="16"/>
              </w:rPr>
            </w:pPr>
            <w:r w:rsidRPr="003B6014">
              <w:rPr>
                <w:rFonts w:ascii="Arial" w:hAnsi="Arial" w:cs="Arial"/>
                <w:b/>
                <w:sz w:val="16"/>
                <w:szCs w:val="16"/>
              </w:rPr>
              <w:t>Piani di studio</w:t>
            </w:r>
          </w:p>
          <w:p w:rsidR="00F7421C" w:rsidRPr="003B6014" w:rsidRDefault="00F7421C" w:rsidP="00F14C4A">
            <w:pPr>
              <w:rPr>
                <w:rFonts w:ascii="Arial" w:hAnsi="Arial" w:cs="Arial"/>
                <w:b/>
                <w:sz w:val="16"/>
                <w:szCs w:val="16"/>
              </w:rPr>
            </w:pPr>
          </w:p>
          <w:p w:rsidR="00F7421C" w:rsidRPr="003B6014" w:rsidRDefault="00F7421C" w:rsidP="00F14C4A">
            <w:pPr>
              <w:rPr>
                <w:rFonts w:ascii="Arial" w:hAnsi="Arial" w:cs="Arial"/>
                <w:sz w:val="16"/>
                <w:szCs w:val="16"/>
              </w:rPr>
            </w:pPr>
          </w:p>
        </w:tc>
        <w:tc>
          <w:tcPr>
            <w:tcW w:w="3490" w:type="pct"/>
          </w:tcPr>
          <w:p w:rsidR="00F7421C" w:rsidRDefault="00F7421C" w:rsidP="00F14C4A">
            <w:pPr>
              <w:jc w:val="both"/>
              <w:rPr>
                <w:rFonts w:ascii="Arial" w:hAnsi="Arial" w:cs="Arial"/>
                <w:sz w:val="16"/>
                <w:szCs w:val="16"/>
                <w:lang w:eastAsia="it-IT"/>
              </w:rPr>
            </w:pPr>
            <w:r>
              <w:rPr>
                <w:rFonts w:ascii="Arial" w:hAnsi="Arial" w:cs="Arial"/>
                <w:sz w:val="16"/>
                <w:szCs w:val="16"/>
                <w:lang w:eastAsia="it-IT"/>
              </w:rPr>
              <w:t xml:space="preserve">Lo studente dovrà compilare annualmente il piano di studi nei termini indicati dal Dipartimento. I piani di studio conformi all’offerta formativa inserita nella banca ministeriale vengono approvati automaticamente. Lo studente può presentare un piano di studio individuale, purché coerente con il progetto culturale e adeguato agli obiettivi formativi e ai contenuti specifici del corso di </w:t>
            </w:r>
            <w:r w:rsidR="00232B7B">
              <w:rPr>
                <w:rFonts w:ascii="Arial" w:hAnsi="Arial" w:cs="Arial"/>
                <w:sz w:val="16"/>
                <w:szCs w:val="16"/>
                <w:lang w:eastAsia="it-IT"/>
              </w:rPr>
              <w:t>Studi</w:t>
            </w:r>
            <w:r>
              <w:rPr>
                <w:rFonts w:ascii="Arial" w:hAnsi="Arial" w:cs="Arial"/>
                <w:sz w:val="16"/>
                <w:szCs w:val="16"/>
                <w:lang w:eastAsia="it-IT"/>
              </w:rPr>
              <w:t xml:space="preserve">. Il piano di studi individuale conforme all’ordinamento didattico è approvato dal Consiglio di Corso di </w:t>
            </w:r>
            <w:r w:rsidR="00232B7B">
              <w:rPr>
                <w:rFonts w:ascii="Arial" w:hAnsi="Arial" w:cs="Arial"/>
                <w:sz w:val="16"/>
                <w:szCs w:val="16"/>
                <w:lang w:eastAsia="it-IT"/>
              </w:rPr>
              <w:t>Studi</w:t>
            </w:r>
            <w:r>
              <w:rPr>
                <w:rFonts w:ascii="Arial" w:hAnsi="Arial" w:cs="Arial"/>
                <w:sz w:val="16"/>
                <w:szCs w:val="16"/>
                <w:lang w:eastAsia="it-IT"/>
              </w:rPr>
              <w:t>.</w:t>
            </w:r>
          </w:p>
          <w:p w:rsidR="00F7421C" w:rsidRPr="001E5DB9" w:rsidRDefault="00F7421C" w:rsidP="00232B7B">
            <w:pPr>
              <w:jc w:val="both"/>
              <w:rPr>
                <w:rFonts w:ascii="Arial" w:hAnsi="Arial" w:cs="Arial"/>
                <w:sz w:val="16"/>
                <w:szCs w:val="16"/>
              </w:rPr>
            </w:pPr>
            <w:r>
              <w:rPr>
                <w:rFonts w:ascii="Arial" w:hAnsi="Arial" w:cs="Arial"/>
                <w:sz w:val="16"/>
                <w:szCs w:val="16"/>
                <w:lang w:eastAsia="it-IT"/>
              </w:rPr>
              <w:t xml:space="preserve">Il piano di studio individuale non aderente </w:t>
            </w:r>
            <w:r w:rsidR="00232B7B">
              <w:rPr>
                <w:rFonts w:ascii="Arial" w:hAnsi="Arial" w:cs="Arial"/>
                <w:sz w:val="16"/>
                <w:szCs w:val="16"/>
                <w:lang w:eastAsia="it-IT"/>
              </w:rPr>
              <w:t>al percorso inserito</w:t>
            </w:r>
            <w:r>
              <w:rPr>
                <w:rFonts w:ascii="Arial" w:hAnsi="Arial" w:cs="Arial"/>
                <w:sz w:val="16"/>
                <w:szCs w:val="16"/>
                <w:lang w:eastAsia="it-IT"/>
              </w:rPr>
              <w:t xml:space="preserve"> nella banca dati ministeriale dell’offerta formativa, ma conforme all’ordinamento didattico</w:t>
            </w:r>
            <w:r w:rsidR="00E967C7">
              <w:rPr>
                <w:rFonts w:ascii="Arial" w:hAnsi="Arial" w:cs="Arial"/>
                <w:sz w:val="16"/>
                <w:szCs w:val="16"/>
                <w:lang w:eastAsia="it-IT"/>
              </w:rPr>
              <w:t>,</w:t>
            </w:r>
            <w:r>
              <w:rPr>
                <w:rFonts w:ascii="Arial" w:hAnsi="Arial" w:cs="Arial"/>
                <w:sz w:val="16"/>
                <w:szCs w:val="16"/>
                <w:lang w:eastAsia="it-IT"/>
              </w:rPr>
              <w:t xml:space="preserve"> ovvero articolato su una durata più breve rispetto a quella normale, è approvato sia dal consiglio di corso di studio sia dal consiglio di dipartimento. </w:t>
            </w:r>
          </w:p>
        </w:tc>
      </w:tr>
      <w:tr w:rsidR="00F7421C" w:rsidRPr="003B6014" w:rsidTr="00F14C4A">
        <w:trPr>
          <w:jc w:val="center"/>
        </w:trPr>
        <w:tc>
          <w:tcPr>
            <w:tcW w:w="1510" w:type="pct"/>
          </w:tcPr>
          <w:p w:rsidR="00F7421C" w:rsidRPr="003B6014" w:rsidRDefault="00F7421C" w:rsidP="00F14C4A">
            <w:pPr>
              <w:rPr>
                <w:rFonts w:ascii="Arial" w:hAnsi="Arial" w:cs="Arial"/>
                <w:sz w:val="16"/>
                <w:szCs w:val="16"/>
              </w:rPr>
            </w:pPr>
            <w:r w:rsidRPr="003B6014">
              <w:rPr>
                <w:rFonts w:ascii="Arial" w:hAnsi="Arial" w:cs="Arial"/>
                <w:sz w:val="16"/>
                <w:szCs w:val="16"/>
              </w:rPr>
              <w:t>Art. 6</w:t>
            </w:r>
          </w:p>
          <w:p w:rsidR="00F7421C" w:rsidRPr="003B6014" w:rsidRDefault="00F7421C" w:rsidP="00F14C4A">
            <w:pPr>
              <w:rPr>
                <w:rFonts w:ascii="Arial" w:hAnsi="Arial" w:cs="Arial"/>
                <w:b/>
                <w:sz w:val="16"/>
                <w:szCs w:val="16"/>
              </w:rPr>
            </w:pPr>
            <w:r w:rsidRPr="003B6014">
              <w:rPr>
                <w:rFonts w:ascii="Arial" w:hAnsi="Arial" w:cs="Arial"/>
                <w:b/>
                <w:sz w:val="16"/>
                <w:szCs w:val="16"/>
              </w:rPr>
              <w:t>Frequenza e modalità di svolgimento delle attività didattiche</w:t>
            </w:r>
          </w:p>
          <w:p w:rsidR="00F7421C" w:rsidRPr="003B6014" w:rsidRDefault="00F7421C" w:rsidP="00F14C4A">
            <w:pPr>
              <w:rPr>
                <w:rFonts w:ascii="Arial" w:hAnsi="Arial" w:cs="Arial"/>
                <w:b/>
                <w:sz w:val="16"/>
                <w:szCs w:val="16"/>
              </w:rPr>
            </w:pPr>
          </w:p>
          <w:p w:rsidR="00F7421C" w:rsidRPr="003B6014" w:rsidRDefault="00F7421C" w:rsidP="00F14C4A">
            <w:pPr>
              <w:rPr>
                <w:rFonts w:ascii="Arial" w:hAnsi="Arial" w:cs="Arial"/>
                <w:sz w:val="16"/>
                <w:szCs w:val="16"/>
              </w:rPr>
            </w:pPr>
          </w:p>
        </w:tc>
        <w:tc>
          <w:tcPr>
            <w:tcW w:w="3490" w:type="pct"/>
          </w:tcPr>
          <w:p w:rsidR="00F7421C" w:rsidRPr="003B6014" w:rsidRDefault="00F7421C" w:rsidP="00F14C4A">
            <w:pPr>
              <w:jc w:val="both"/>
              <w:rPr>
                <w:rFonts w:ascii="Arial" w:hAnsi="Arial" w:cs="Arial"/>
                <w:sz w:val="16"/>
                <w:szCs w:val="16"/>
              </w:rPr>
            </w:pPr>
            <w:r w:rsidRPr="003B6014">
              <w:rPr>
                <w:rFonts w:ascii="Arial" w:hAnsi="Arial" w:cs="Arial"/>
                <w:sz w:val="16"/>
                <w:szCs w:val="16"/>
              </w:rPr>
              <w:t xml:space="preserve">La frequenza delle lezioni, utile e perciò consigliata, non è obbligatoria e non può in alcun modo costituire criterio di ingiustificate differenze di trattamento tra studenti. Il corso di Laurea si avvale, nei limiti delle disponibilità di risorse umane e finanziarie, di opportuni strumenti didattici (informatici, supporti on-line, e </w:t>
            </w:r>
            <w:proofErr w:type="spellStart"/>
            <w:r w:rsidRPr="003B6014">
              <w:rPr>
                <w:rFonts w:ascii="Arial" w:hAnsi="Arial" w:cs="Arial"/>
                <w:sz w:val="16"/>
                <w:szCs w:val="16"/>
              </w:rPr>
              <w:t>aulaweb</w:t>
            </w:r>
            <w:proofErr w:type="spellEnd"/>
            <w:r w:rsidRPr="003B6014">
              <w:rPr>
                <w:rFonts w:ascii="Arial" w:hAnsi="Arial" w:cs="Arial"/>
                <w:sz w:val="16"/>
                <w:szCs w:val="16"/>
              </w:rPr>
              <w:t xml:space="preserve">) per agevolare gli studenti, ed in particolare gli studenti diversamente abili ed i lavoratori, nell’accesso ai contenuti formativi delle attività didattiche </w:t>
            </w:r>
          </w:p>
          <w:p w:rsidR="00F7421C" w:rsidRPr="003B6014" w:rsidRDefault="00F7421C" w:rsidP="00F14C4A">
            <w:pPr>
              <w:jc w:val="both"/>
              <w:rPr>
                <w:rFonts w:ascii="Arial" w:hAnsi="Arial" w:cs="Arial"/>
                <w:sz w:val="16"/>
                <w:szCs w:val="16"/>
              </w:rPr>
            </w:pPr>
            <w:r w:rsidRPr="003B6014">
              <w:rPr>
                <w:rFonts w:ascii="Arial" w:hAnsi="Arial" w:cs="Arial"/>
                <w:sz w:val="16"/>
                <w:szCs w:val="16"/>
              </w:rPr>
              <w:t xml:space="preserve">Sono previste lezioni frontali, esercitazioni e seminari. </w:t>
            </w:r>
          </w:p>
          <w:p w:rsidR="00F7421C" w:rsidRPr="003B6014" w:rsidRDefault="00F7421C" w:rsidP="00F14C4A">
            <w:pPr>
              <w:jc w:val="both"/>
              <w:rPr>
                <w:rFonts w:ascii="Arial" w:hAnsi="Arial" w:cs="Arial"/>
                <w:sz w:val="16"/>
                <w:szCs w:val="16"/>
                <w:lang w:bidi="it-IT"/>
              </w:rPr>
            </w:pPr>
            <w:r w:rsidRPr="003B6014">
              <w:rPr>
                <w:rFonts w:ascii="Arial" w:hAnsi="Arial" w:cs="Arial"/>
                <w:sz w:val="16"/>
                <w:szCs w:val="16"/>
                <w:lang w:bidi="it-IT"/>
              </w:rPr>
              <w:t>Ogni anno di corso è suddivido in due periodi didattici, con una congrua interruzione delle attività formative al termine della quale si svolgono gli appelli ordinari di esame.</w:t>
            </w:r>
          </w:p>
          <w:p w:rsidR="00F7421C" w:rsidRPr="003B6014" w:rsidRDefault="00F7421C" w:rsidP="00F14C4A">
            <w:pPr>
              <w:jc w:val="both"/>
              <w:rPr>
                <w:rFonts w:ascii="Arial" w:hAnsi="Arial" w:cs="Arial"/>
                <w:sz w:val="16"/>
                <w:szCs w:val="16"/>
                <w:highlight w:val="yellow"/>
              </w:rPr>
            </w:pPr>
            <w:r w:rsidRPr="003B6014">
              <w:rPr>
                <w:rFonts w:ascii="Arial" w:hAnsi="Arial" w:cs="Arial"/>
                <w:sz w:val="16"/>
                <w:szCs w:val="16"/>
                <w:lang w:bidi="it-IT"/>
              </w:rPr>
              <w:t xml:space="preserve">Puntuali indicazioni relative ai periodi di svolgimento delle attività didattiche e delle relative sospensioni, sono contenute nel Manifesto predisposto e reso noto con congruo anticipo ogni anno e sul sito web di </w:t>
            </w:r>
            <w:r>
              <w:rPr>
                <w:rFonts w:ascii="Arial" w:hAnsi="Arial" w:cs="Arial"/>
                <w:sz w:val="16"/>
                <w:szCs w:val="16"/>
                <w:lang w:bidi="it-IT"/>
              </w:rPr>
              <w:t>Dipartimento</w:t>
            </w:r>
            <w:r w:rsidRPr="003B6014">
              <w:rPr>
                <w:rFonts w:ascii="Arial" w:hAnsi="Arial" w:cs="Arial"/>
                <w:sz w:val="16"/>
                <w:szCs w:val="16"/>
              </w:rPr>
              <w:t>.</w:t>
            </w:r>
            <w:r>
              <w:rPr>
                <w:rFonts w:ascii="Arial" w:hAnsi="Arial" w:cs="Arial"/>
                <w:sz w:val="16"/>
                <w:szCs w:val="16"/>
              </w:rPr>
              <w:t xml:space="preserve"> </w:t>
            </w:r>
            <w:r w:rsidRPr="003B6014">
              <w:rPr>
                <w:rFonts w:ascii="Arial" w:hAnsi="Arial" w:cs="Arial"/>
                <w:sz w:val="16"/>
                <w:szCs w:val="16"/>
              </w:rPr>
              <w:t xml:space="preserve">Gli orari e le sedi di svolgimento delle lezioni, esercitazioni e delle altre attività didattiche sono pubblicati sul sito web di </w:t>
            </w:r>
            <w:r w:rsidR="00E967C7">
              <w:rPr>
                <w:rFonts w:ascii="Arial" w:hAnsi="Arial" w:cs="Arial"/>
                <w:sz w:val="16"/>
                <w:szCs w:val="16"/>
              </w:rPr>
              <w:t>Dipartimento</w:t>
            </w:r>
            <w:r w:rsidR="00232B7B">
              <w:rPr>
                <w:rFonts w:ascii="Arial" w:hAnsi="Arial" w:cs="Arial"/>
                <w:sz w:val="16"/>
                <w:szCs w:val="16"/>
              </w:rPr>
              <w:t>.</w:t>
            </w:r>
          </w:p>
          <w:p w:rsidR="00F7421C" w:rsidRPr="003B6014" w:rsidRDefault="00F7421C" w:rsidP="00F14C4A">
            <w:pPr>
              <w:jc w:val="both"/>
              <w:rPr>
                <w:rFonts w:ascii="Arial" w:hAnsi="Arial" w:cs="Arial"/>
                <w:sz w:val="16"/>
                <w:szCs w:val="16"/>
              </w:rPr>
            </w:pPr>
          </w:p>
        </w:tc>
      </w:tr>
      <w:tr w:rsidR="00F7421C" w:rsidRPr="003B6014" w:rsidTr="00F14C4A">
        <w:trPr>
          <w:jc w:val="center"/>
        </w:trPr>
        <w:tc>
          <w:tcPr>
            <w:tcW w:w="1510" w:type="pct"/>
          </w:tcPr>
          <w:p w:rsidR="00F7421C" w:rsidRPr="003B6014" w:rsidRDefault="00F7421C" w:rsidP="00F14C4A">
            <w:pPr>
              <w:rPr>
                <w:rFonts w:ascii="Arial" w:hAnsi="Arial" w:cs="Arial"/>
                <w:sz w:val="16"/>
                <w:szCs w:val="16"/>
              </w:rPr>
            </w:pPr>
            <w:r w:rsidRPr="003B6014">
              <w:rPr>
                <w:rFonts w:ascii="Arial" w:hAnsi="Arial" w:cs="Arial"/>
                <w:sz w:val="16"/>
                <w:szCs w:val="16"/>
              </w:rPr>
              <w:t>Art. 7</w:t>
            </w:r>
          </w:p>
          <w:p w:rsidR="00F7421C" w:rsidRPr="003B6014" w:rsidRDefault="00F7421C" w:rsidP="00F14C4A">
            <w:pPr>
              <w:rPr>
                <w:rFonts w:ascii="Arial" w:hAnsi="Arial" w:cs="Arial"/>
                <w:b/>
                <w:sz w:val="16"/>
                <w:szCs w:val="16"/>
              </w:rPr>
            </w:pPr>
            <w:r w:rsidRPr="003B6014">
              <w:rPr>
                <w:rFonts w:ascii="Arial" w:hAnsi="Arial" w:cs="Arial"/>
                <w:b/>
                <w:sz w:val="16"/>
                <w:szCs w:val="16"/>
              </w:rPr>
              <w:t>Esami e altre verifiche del profitto</w:t>
            </w:r>
          </w:p>
          <w:p w:rsidR="00F7421C" w:rsidRPr="003B6014" w:rsidRDefault="00F7421C" w:rsidP="00F14C4A">
            <w:pPr>
              <w:rPr>
                <w:rFonts w:ascii="Arial" w:hAnsi="Arial" w:cs="Arial"/>
                <w:b/>
                <w:sz w:val="16"/>
                <w:szCs w:val="16"/>
              </w:rPr>
            </w:pPr>
          </w:p>
          <w:p w:rsidR="00F7421C" w:rsidRPr="003B6014" w:rsidRDefault="00F7421C" w:rsidP="00F14C4A">
            <w:pPr>
              <w:rPr>
                <w:rFonts w:ascii="Arial" w:hAnsi="Arial" w:cs="Arial"/>
                <w:sz w:val="16"/>
                <w:szCs w:val="16"/>
              </w:rPr>
            </w:pPr>
          </w:p>
        </w:tc>
        <w:tc>
          <w:tcPr>
            <w:tcW w:w="3490" w:type="pct"/>
          </w:tcPr>
          <w:p w:rsidR="00F7421C" w:rsidRDefault="00F7421C" w:rsidP="00F14C4A">
            <w:pPr>
              <w:jc w:val="both"/>
              <w:rPr>
                <w:rFonts w:ascii="Arial" w:hAnsi="Arial" w:cs="Arial"/>
                <w:sz w:val="16"/>
                <w:szCs w:val="16"/>
                <w:lang w:eastAsia="it-IT"/>
              </w:rPr>
            </w:pPr>
            <w:r>
              <w:rPr>
                <w:rFonts w:ascii="Arial" w:hAnsi="Arial" w:cs="Arial"/>
                <w:sz w:val="16"/>
                <w:szCs w:val="16"/>
                <w:lang w:eastAsia="it-IT"/>
              </w:rPr>
              <w:t xml:space="preserve">Le verifiche del profitto degli studenti (in forma scritta e/o informatica e/o orale) avverranno al termine dello svolgimento di ogni attività formativa, senza un limite massimo entro il quale la verifica debba essere superata, secondo modalità stabilite dai singoli docenti. </w:t>
            </w:r>
          </w:p>
          <w:p w:rsidR="00F7421C" w:rsidRDefault="00F7421C" w:rsidP="00F14C4A">
            <w:pPr>
              <w:jc w:val="both"/>
              <w:rPr>
                <w:rFonts w:ascii="Arial" w:hAnsi="Arial" w:cs="Arial"/>
                <w:sz w:val="16"/>
                <w:szCs w:val="16"/>
                <w:lang w:eastAsia="it-IT"/>
              </w:rPr>
            </w:pPr>
            <w:r>
              <w:rPr>
                <w:rFonts w:ascii="Arial" w:hAnsi="Arial" w:cs="Arial"/>
                <w:sz w:val="16"/>
                <w:szCs w:val="16"/>
                <w:lang w:eastAsia="it-IT"/>
              </w:rPr>
              <w:t xml:space="preserve">Nel rispetto dell’organizzazione complessiva della didattica, i docenti potranno effettuare verifiche in itinere durante il corso, </w:t>
            </w:r>
            <w:r w:rsidR="008F1ED4">
              <w:rPr>
                <w:rFonts w:ascii="Arial" w:hAnsi="Arial" w:cs="Arial"/>
                <w:sz w:val="16"/>
                <w:szCs w:val="16"/>
              </w:rPr>
              <w:t xml:space="preserve">nelle ore di lezione del docente stesso, </w:t>
            </w:r>
            <w:r>
              <w:rPr>
                <w:rFonts w:ascii="Arial" w:hAnsi="Arial" w:cs="Arial"/>
                <w:sz w:val="16"/>
                <w:szCs w:val="16"/>
                <w:lang w:eastAsia="it-IT"/>
              </w:rPr>
              <w:t>che possono rappresentare un elemento di valutazione delle diverse fasi di apprendimento della disciplina.</w:t>
            </w:r>
          </w:p>
          <w:p w:rsidR="00F7421C" w:rsidRDefault="00F7421C" w:rsidP="00F14C4A">
            <w:pPr>
              <w:jc w:val="both"/>
              <w:rPr>
                <w:rFonts w:ascii="Arial" w:hAnsi="Arial" w:cs="Arial"/>
                <w:sz w:val="16"/>
                <w:szCs w:val="16"/>
                <w:lang w:eastAsia="it-IT"/>
              </w:rPr>
            </w:pPr>
            <w:r>
              <w:rPr>
                <w:rFonts w:ascii="Arial" w:hAnsi="Arial" w:cs="Arial"/>
                <w:sz w:val="16"/>
                <w:szCs w:val="16"/>
                <w:lang w:eastAsia="it-IT"/>
              </w:rPr>
              <w:t>Forme specifiche di verifica potranno essere definite per attività formative diverse dagli insegnamenti.</w:t>
            </w:r>
          </w:p>
          <w:p w:rsidR="00441B4C" w:rsidRDefault="00441B4C" w:rsidP="00441B4C">
            <w:pPr>
              <w:jc w:val="both"/>
              <w:rPr>
                <w:rFonts w:ascii="Arial" w:hAnsi="Arial" w:cs="Arial"/>
                <w:sz w:val="16"/>
                <w:szCs w:val="16"/>
              </w:rPr>
            </w:pPr>
            <w:r w:rsidRPr="00390232">
              <w:rPr>
                <w:rFonts w:ascii="Arial" w:hAnsi="Arial" w:cs="Arial"/>
                <w:sz w:val="16"/>
                <w:szCs w:val="16"/>
                <w:highlight w:val="yellow"/>
              </w:rPr>
              <w:t>Per ogni anno accademico sono previsti almeno 7 appelli secondo quanto verrà pubblicato sul Manifesto e sul sito web di Dipartimento.</w:t>
            </w:r>
          </w:p>
          <w:p w:rsidR="00441B4C" w:rsidRDefault="00441B4C" w:rsidP="00441B4C">
            <w:pPr>
              <w:jc w:val="both"/>
              <w:rPr>
                <w:rFonts w:ascii="Arial" w:hAnsi="Arial" w:cs="Arial"/>
                <w:sz w:val="16"/>
                <w:szCs w:val="16"/>
              </w:rPr>
            </w:pPr>
            <w:r w:rsidRPr="003D517C">
              <w:rPr>
                <w:rFonts w:ascii="Arial" w:hAnsi="Arial" w:cs="Arial"/>
                <w:sz w:val="16"/>
                <w:szCs w:val="16"/>
              </w:rPr>
              <w:t>Sono altresì previsti due appelli straordinari (uno in autunno, uno in primavera) riservati agli studenti</w:t>
            </w:r>
            <w:r>
              <w:rPr>
                <w:rFonts w:ascii="Arial" w:hAnsi="Arial" w:cs="Arial"/>
                <w:sz w:val="16"/>
                <w:szCs w:val="16"/>
              </w:rPr>
              <w:t xml:space="preserve"> che</w:t>
            </w:r>
            <w:r w:rsidRPr="003D517C">
              <w:rPr>
                <w:rFonts w:ascii="Arial" w:hAnsi="Arial" w:cs="Arial"/>
                <w:sz w:val="16"/>
                <w:szCs w:val="16"/>
              </w:rPr>
              <w:t xml:space="preserve"> </w:t>
            </w:r>
            <w:r w:rsidRPr="004B7236">
              <w:rPr>
                <w:rFonts w:ascii="Arial" w:hAnsi="Arial" w:cs="Arial"/>
                <w:sz w:val="16"/>
                <w:szCs w:val="16"/>
              </w:rPr>
              <w:t>abbiano ottenuto la frequenza di tutti gli insegnamenti del biennio. Gli studenti che hanno terminato la frequenza di tutte le lezioni previste dal proprio piano di studi possono quindi accedere alla sessione straordinaria autunnale dello stesso anno accademico.</w:t>
            </w:r>
            <w:r>
              <w:rPr>
                <w:rFonts w:ascii="Arial" w:hAnsi="Arial" w:cs="Arial"/>
                <w:sz w:val="16"/>
                <w:szCs w:val="16"/>
              </w:rPr>
              <w:t xml:space="preserve"> </w:t>
            </w:r>
          </w:p>
          <w:p w:rsidR="00441B4C" w:rsidRDefault="00441B4C" w:rsidP="00441B4C">
            <w:pPr>
              <w:jc w:val="both"/>
              <w:rPr>
                <w:rFonts w:ascii="Arial" w:hAnsi="Arial" w:cs="Arial"/>
                <w:sz w:val="16"/>
                <w:szCs w:val="16"/>
              </w:rPr>
            </w:pPr>
            <w:r w:rsidRPr="00A016F5">
              <w:rPr>
                <w:rFonts w:ascii="Arial" w:hAnsi="Arial" w:cs="Arial"/>
                <w:sz w:val="16"/>
                <w:szCs w:val="16"/>
              </w:rPr>
              <w:t>Il Manifesto degli studi indica i periodi di svolg</w:t>
            </w:r>
            <w:r>
              <w:rPr>
                <w:rFonts w:ascii="Arial" w:hAnsi="Arial" w:cs="Arial"/>
                <w:sz w:val="16"/>
                <w:szCs w:val="16"/>
              </w:rPr>
              <w:t>imento degli esami di profitto.</w:t>
            </w:r>
          </w:p>
          <w:p w:rsidR="00232B7B" w:rsidRDefault="00441B4C" w:rsidP="00F14C4A">
            <w:pPr>
              <w:jc w:val="both"/>
              <w:rPr>
                <w:rFonts w:ascii="Arial" w:hAnsi="Arial" w:cs="Arial"/>
                <w:sz w:val="16"/>
                <w:szCs w:val="16"/>
              </w:rPr>
            </w:pPr>
            <w:r w:rsidRPr="00390232">
              <w:rPr>
                <w:rFonts w:ascii="Arial" w:hAnsi="Arial" w:cs="Arial"/>
                <w:sz w:val="16"/>
                <w:szCs w:val="16"/>
                <w:highlight w:val="yellow"/>
              </w:rPr>
              <w:t xml:space="preserve">Il Regolamento didattico di Ateneo prevede che lo studente possa ripetere l’esame almeno due volte all’interno dell’anno accademico; la </w:t>
            </w:r>
            <w:r w:rsidRPr="00390232">
              <w:rPr>
                <w:rFonts w:ascii="Arial" w:hAnsi="Arial" w:cs="Arial"/>
                <w:sz w:val="16"/>
                <w:szCs w:val="16"/>
                <w:highlight w:val="yellow"/>
              </w:rPr>
              <w:lastRenderedPageBreak/>
              <w:t>limitazione al numero di sessioni a cui lo studente si può presentare, se ritenuta necessaria, deve essere adeguatamente resa pubblica dai singoli docenti; il salto di appello non si applica se implica un salto di sessione; in particolare, allo scopo di non penalizzare gli studenti fuori corso, le sessioni straordinarie devono considerarsi comunque aggiuntive rispetto a quelle ordinarie.</w:t>
            </w:r>
          </w:p>
          <w:p w:rsidR="00232B7B" w:rsidRDefault="00232B7B" w:rsidP="00F14C4A">
            <w:pPr>
              <w:jc w:val="both"/>
              <w:rPr>
                <w:rFonts w:ascii="Arial" w:hAnsi="Arial" w:cs="Arial"/>
                <w:sz w:val="16"/>
                <w:szCs w:val="16"/>
                <w:lang w:eastAsia="it-IT"/>
              </w:rPr>
            </w:pPr>
          </w:p>
          <w:p w:rsidR="00F7421C" w:rsidRDefault="00F7421C" w:rsidP="00F14C4A">
            <w:pPr>
              <w:jc w:val="both"/>
              <w:rPr>
                <w:rFonts w:ascii="Arial" w:hAnsi="Arial" w:cs="Arial"/>
                <w:sz w:val="16"/>
                <w:szCs w:val="16"/>
                <w:lang w:eastAsia="it-IT"/>
              </w:rPr>
            </w:pPr>
            <w:r>
              <w:rPr>
                <w:rFonts w:ascii="Arial" w:hAnsi="Arial" w:cs="Arial"/>
                <w:sz w:val="16"/>
                <w:szCs w:val="16"/>
                <w:lang w:eastAsia="it-IT" w:bidi="it-IT"/>
              </w:rPr>
              <w:t>Il calendario degli esami di profitto dei singoli insegnamenti e degli esami finali per il conferimento di titoli accademici è   pubblicato sul sito web di Dipartimento e reso noto nelle forme ritenute opportune, entro la data stabilita dall’art. 25 del Regolamento Didattico di Ateneo, per l’anno accademico successivo.</w:t>
            </w:r>
          </w:p>
          <w:p w:rsidR="00F7421C" w:rsidRDefault="00F7421C" w:rsidP="00F14C4A">
            <w:pPr>
              <w:jc w:val="both"/>
              <w:rPr>
                <w:rFonts w:ascii="Arial" w:hAnsi="Arial" w:cs="Arial"/>
                <w:sz w:val="16"/>
                <w:szCs w:val="16"/>
                <w:lang w:eastAsia="it-IT"/>
              </w:rPr>
            </w:pPr>
            <w:r>
              <w:rPr>
                <w:rFonts w:ascii="Arial" w:hAnsi="Arial" w:cs="Arial"/>
                <w:sz w:val="16"/>
                <w:szCs w:val="16"/>
                <w:lang w:eastAsia="it-IT"/>
              </w:rPr>
              <w:t xml:space="preserve">Per studenti diversamente abili possono essere organizzate prove equipollenti, con tempi più lunghi per le prove scritte o che richiedono l’utilizzo di strumenti informatici, consentendo l’ausilio degli strumenti individuali necessari e di assistenti per l’autonomia e/o la comunicazione in relazione alla specifica disabilità individuale. </w:t>
            </w:r>
          </w:p>
          <w:p w:rsidR="00F7421C" w:rsidRPr="003B6014" w:rsidRDefault="00F7421C" w:rsidP="00F14C4A">
            <w:pPr>
              <w:pStyle w:val="corpodeltesto"/>
              <w:jc w:val="both"/>
              <w:rPr>
                <w:rFonts w:cs="Arial"/>
                <w:sz w:val="16"/>
                <w:szCs w:val="16"/>
              </w:rPr>
            </w:pPr>
          </w:p>
        </w:tc>
      </w:tr>
      <w:tr w:rsidR="00F7421C" w:rsidRPr="003B6014" w:rsidTr="00F14C4A">
        <w:trPr>
          <w:jc w:val="center"/>
        </w:trPr>
        <w:tc>
          <w:tcPr>
            <w:tcW w:w="1510" w:type="pct"/>
          </w:tcPr>
          <w:p w:rsidR="00F7421C" w:rsidRPr="003B6014" w:rsidRDefault="00F7421C" w:rsidP="00F14C4A">
            <w:pPr>
              <w:rPr>
                <w:rFonts w:ascii="Arial" w:hAnsi="Arial" w:cs="Arial"/>
                <w:sz w:val="16"/>
                <w:szCs w:val="16"/>
              </w:rPr>
            </w:pPr>
            <w:r w:rsidRPr="003B6014">
              <w:rPr>
                <w:rFonts w:ascii="Arial" w:hAnsi="Arial" w:cs="Arial"/>
                <w:sz w:val="16"/>
                <w:szCs w:val="16"/>
              </w:rPr>
              <w:lastRenderedPageBreak/>
              <w:t>Art. 8</w:t>
            </w:r>
          </w:p>
          <w:p w:rsidR="00F7421C" w:rsidRPr="003B6014" w:rsidRDefault="00F7421C" w:rsidP="00F14C4A">
            <w:pPr>
              <w:rPr>
                <w:rFonts w:ascii="Arial" w:hAnsi="Arial" w:cs="Arial"/>
                <w:sz w:val="16"/>
                <w:szCs w:val="16"/>
              </w:rPr>
            </w:pPr>
            <w:r w:rsidRPr="003B6014">
              <w:rPr>
                <w:rFonts w:ascii="Arial" w:hAnsi="Arial" w:cs="Arial"/>
                <w:b/>
                <w:sz w:val="16"/>
                <w:szCs w:val="16"/>
              </w:rPr>
              <w:t>Riconoscimento di crediti</w:t>
            </w:r>
          </w:p>
        </w:tc>
        <w:tc>
          <w:tcPr>
            <w:tcW w:w="3490" w:type="pct"/>
          </w:tcPr>
          <w:p w:rsidR="00E967C7" w:rsidRDefault="00E967C7" w:rsidP="00E967C7">
            <w:pPr>
              <w:jc w:val="both"/>
              <w:rPr>
                <w:rFonts w:ascii="Arial" w:hAnsi="Arial" w:cs="Arial"/>
                <w:sz w:val="16"/>
                <w:szCs w:val="16"/>
                <w:lang w:bidi="it-IT"/>
              </w:rPr>
            </w:pPr>
            <w:r>
              <w:rPr>
                <w:rFonts w:ascii="Arial" w:hAnsi="Arial" w:cs="Arial"/>
                <w:sz w:val="16"/>
                <w:szCs w:val="16"/>
                <w:lang w:bidi="it-IT"/>
              </w:rPr>
              <w:t xml:space="preserve">a) Compete al Consiglio del Corso di </w:t>
            </w:r>
            <w:r w:rsidR="00232B7B">
              <w:rPr>
                <w:rFonts w:ascii="Arial" w:hAnsi="Arial" w:cs="Arial"/>
                <w:sz w:val="16"/>
                <w:szCs w:val="16"/>
                <w:lang w:bidi="it-IT"/>
              </w:rPr>
              <w:t>Studio</w:t>
            </w:r>
            <w:r>
              <w:rPr>
                <w:rFonts w:ascii="Arial" w:hAnsi="Arial" w:cs="Arial"/>
                <w:sz w:val="16"/>
                <w:szCs w:val="16"/>
                <w:lang w:bidi="it-IT"/>
              </w:rPr>
              <w:t xml:space="preserve"> il riconoscimento totale o parziale dei crediti acquisiti dallo studente frequentando altri corsi di </w:t>
            </w:r>
            <w:r w:rsidR="00232B7B">
              <w:rPr>
                <w:rFonts w:ascii="Arial" w:hAnsi="Arial" w:cs="Arial"/>
                <w:sz w:val="16"/>
                <w:szCs w:val="16"/>
                <w:lang w:bidi="it-IT"/>
              </w:rPr>
              <w:t>studio</w:t>
            </w:r>
            <w:r>
              <w:rPr>
                <w:rFonts w:ascii="Arial" w:hAnsi="Arial" w:cs="Arial"/>
                <w:sz w:val="16"/>
                <w:szCs w:val="16"/>
                <w:lang w:bidi="it-IT"/>
              </w:rPr>
              <w:t xml:space="preserve"> o corsi equipollenti presso l’Ateneo genovese o altri Atenei italiani ed esteri. Qualora i crediti conseguiti siano relativi a insegnamenti congrui con gli obiettivi formativi del corso di laurea</w:t>
            </w:r>
            <w:r w:rsidR="00232B7B">
              <w:rPr>
                <w:rFonts w:ascii="Arial" w:hAnsi="Arial" w:cs="Arial"/>
                <w:sz w:val="16"/>
                <w:szCs w:val="16"/>
                <w:lang w:bidi="it-IT"/>
              </w:rPr>
              <w:t xml:space="preserve"> magistrale</w:t>
            </w:r>
            <w:r>
              <w:rPr>
                <w:rFonts w:ascii="Arial" w:hAnsi="Arial" w:cs="Arial"/>
                <w:sz w:val="16"/>
                <w:szCs w:val="16"/>
                <w:lang w:bidi="it-IT"/>
              </w:rPr>
              <w:t xml:space="preserve"> in Economia e management marittimo e portuale il loro riconoscimento sarà totale; in caso diverso sarà parziale a discrezione del Consiglio di Corso di Laurea. Solo in casi straordinari, debitamente motivati, si potrà operare un riconoscimento di crediti che dia luogo a un piano di studi non aderente </w:t>
            </w:r>
            <w:r w:rsidR="00232B7B">
              <w:rPr>
                <w:rFonts w:ascii="Arial" w:hAnsi="Arial" w:cs="Arial"/>
                <w:sz w:val="16"/>
                <w:szCs w:val="16"/>
              </w:rPr>
              <w:t xml:space="preserve">al percorso inserito </w:t>
            </w:r>
            <w:r>
              <w:rPr>
                <w:rFonts w:ascii="Arial" w:hAnsi="Arial" w:cs="Arial"/>
                <w:sz w:val="16"/>
                <w:szCs w:val="16"/>
                <w:lang w:bidi="it-IT"/>
              </w:rPr>
              <w:t>nella banca dati, ma conforme all’ordinamento didattico.</w:t>
            </w:r>
          </w:p>
          <w:p w:rsidR="00F7421C" w:rsidRPr="003B6014" w:rsidRDefault="00E967C7" w:rsidP="00F14C4A">
            <w:pPr>
              <w:pStyle w:val="corpodeltesto"/>
              <w:jc w:val="both"/>
              <w:rPr>
                <w:rFonts w:cs="Arial"/>
                <w:sz w:val="16"/>
                <w:szCs w:val="16"/>
                <w:lang w:bidi="it-IT"/>
              </w:rPr>
            </w:pPr>
            <w:r>
              <w:rPr>
                <w:rFonts w:cs="Arial"/>
                <w:sz w:val="16"/>
                <w:szCs w:val="16"/>
                <w:lang w:bidi="it-IT"/>
              </w:rPr>
              <w:t xml:space="preserve">b) </w:t>
            </w:r>
            <w:r w:rsidR="00F7421C" w:rsidRPr="003B6014">
              <w:rPr>
                <w:rFonts w:cs="Arial"/>
                <w:sz w:val="16"/>
                <w:szCs w:val="16"/>
                <w:lang w:bidi="it-IT"/>
              </w:rPr>
              <w:t xml:space="preserve">Il Consiglio del Corso di </w:t>
            </w:r>
            <w:r w:rsidR="00232B7B">
              <w:rPr>
                <w:rFonts w:cs="Arial"/>
                <w:sz w:val="16"/>
                <w:szCs w:val="16"/>
                <w:lang w:bidi="it-IT"/>
              </w:rPr>
              <w:t>Studio</w:t>
            </w:r>
            <w:r w:rsidR="00F7421C" w:rsidRPr="003B6014">
              <w:rPr>
                <w:rFonts w:cs="Arial"/>
                <w:sz w:val="16"/>
                <w:szCs w:val="16"/>
                <w:lang w:bidi="it-IT"/>
              </w:rPr>
              <w:t xml:space="preserve"> potrà riconoscere crediti formativi per attività “altre” rispetto alle attività didattiche e formative organizzate direttamente </w:t>
            </w:r>
            <w:r w:rsidR="00F7421C">
              <w:rPr>
                <w:rFonts w:cs="Arial"/>
                <w:sz w:val="16"/>
                <w:szCs w:val="16"/>
                <w:lang w:bidi="it-IT"/>
              </w:rPr>
              <w:t>dal Dipartimento</w:t>
            </w:r>
            <w:r w:rsidR="00F7421C" w:rsidRPr="003B6014">
              <w:rPr>
                <w:rFonts w:cs="Arial"/>
                <w:sz w:val="16"/>
                <w:szCs w:val="16"/>
                <w:lang w:bidi="it-IT"/>
              </w:rPr>
              <w:t>, purché la valutazione delle stesse consenta di pervenire all’attribuzione (per ciascuna attività o complessivamente per tutte le attività per le quali lo studente chieda il riconoscimento) di un impegno degli studenti pari a 3</w:t>
            </w:r>
            <w:r w:rsidR="00F7421C">
              <w:rPr>
                <w:rFonts w:cs="Arial"/>
                <w:sz w:val="16"/>
                <w:szCs w:val="16"/>
                <w:lang w:bidi="it-IT"/>
              </w:rPr>
              <w:t xml:space="preserve"> </w:t>
            </w:r>
            <w:r w:rsidR="00F7421C" w:rsidRPr="003B6014">
              <w:rPr>
                <w:rFonts w:cs="Arial"/>
                <w:sz w:val="16"/>
                <w:szCs w:val="16"/>
                <w:lang w:bidi="it-IT"/>
              </w:rPr>
              <w:t>CFU, tenuto conto del valore attribuito ad ogni CFU nell’ordinamento vigente. Detto limite minimo rappresenta anche la misura massima dei crediti riconoscibili. In ogni caso, potranno essere riconosciute soltanto attività coerenti con le finalità formative del corso di LM, con esclusione del riconoscimento di periodi lavorativi ovunque e comunque svolti.</w:t>
            </w:r>
          </w:p>
          <w:p w:rsidR="00F7421C" w:rsidRPr="003B6014" w:rsidRDefault="00F7421C" w:rsidP="00F14C4A">
            <w:pPr>
              <w:pStyle w:val="corpodeltesto"/>
              <w:jc w:val="both"/>
              <w:rPr>
                <w:rFonts w:cs="Arial"/>
                <w:sz w:val="16"/>
                <w:szCs w:val="16"/>
                <w:lang w:bidi="it-IT"/>
              </w:rPr>
            </w:pPr>
            <w:r w:rsidRPr="003B6014">
              <w:rPr>
                <w:rFonts w:cs="Arial"/>
                <w:sz w:val="16"/>
                <w:szCs w:val="16"/>
                <w:lang w:bidi="it-IT"/>
              </w:rPr>
              <w:t>I competenti organismi procederanno alla valutazione ed al conseguente eventuale riconoscimento nei termini sopra indicati sulla base di tutti gli elementi ufficialmente presentati dal soggetto richiedente (attestato dell’attività svolta e/o della competenza acquisita, impegno temporale, superamento di una verifica finale, ecc.).</w:t>
            </w:r>
          </w:p>
          <w:p w:rsidR="00F7421C" w:rsidRPr="003B6014" w:rsidRDefault="00F7421C" w:rsidP="00F14C4A">
            <w:pPr>
              <w:pStyle w:val="corpodeltesto"/>
              <w:jc w:val="both"/>
              <w:rPr>
                <w:rFonts w:cs="Arial"/>
                <w:color w:val="0000FF"/>
                <w:sz w:val="16"/>
                <w:szCs w:val="16"/>
                <w:lang w:bidi="it-IT"/>
              </w:rPr>
            </w:pPr>
          </w:p>
        </w:tc>
      </w:tr>
      <w:tr w:rsidR="00F7421C" w:rsidRPr="003B6014" w:rsidTr="00F14C4A">
        <w:trPr>
          <w:jc w:val="center"/>
        </w:trPr>
        <w:tc>
          <w:tcPr>
            <w:tcW w:w="1510" w:type="pct"/>
          </w:tcPr>
          <w:p w:rsidR="00F7421C" w:rsidRPr="003B6014" w:rsidRDefault="00F7421C" w:rsidP="00F14C4A">
            <w:pPr>
              <w:rPr>
                <w:rFonts w:ascii="Arial" w:hAnsi="Arial" w:cs="Arial"/>
                <w:sz w:val="16"/>
                <w:szCs w:val="16"/>
              </w:rPr>
            </w:pPr>
            <w:r w:rsidRPr="003B6014">
              <w:rPr>
                <w:rFonts w:ascii="Arial" w:hAnsi="Arial" w:cs="Arial"/>
                <w:sz w:val="16"/>
                <w:szCs w:val="16"/>
              </w:rPr>
              <w:t>Art. 9</w:t>
            </w:r>
          </w:p>
          <w:p w:rsidR="00F7421C" w:rsidRPr="003B6014" w:rsidRDefault="00F7421C" w:rsidP="00F14C4A">
            <w:pPr>
              <w:rPr>
                <w:rFonts w:ascii="Arial" w:hAnsi="Arial" w:cs="Arial"/>
                <w:sz w:val="16"/>
                <w:szCs w:val="16"/>
              </w:rPr>
            </w:pPr>
            <w:r w:rsidRPr="003B6014">
              <w:rPr>
                <w:rFonts w:ascii="Arial" w:hAnsi="Arial" w:cs="Arial"/>
                <w:b/>
                <w:sz w:val="16"/>
                <w:szCs w:val="16"/>
              </w:rPr>
              <w:t>Mobilità e studi compiuti all’estero</w:t>
            </w:r>
          </w:p>
        </w:tc>
        <w:tc>
          <w:tcPr>
            <w:tcW w:w="3490" w:type="pct"/>
          </w:tcPr>
          <w:p w:rsidR="00F7421C" w:rsidRPr="003B6014" w:rsidRDefault="00F7421C" w:rsidP="00F14C4A">
            <w:pPr>
              <w:jc w:val="both"/>
              <w:rPr>
                <w:rFonts w:ascii="Arial" w:hAnsi="Arial" w:cs="Arial"/>
                <w:color w:val="FF0000"/>
                <w:sz w:val="16"/>
                <w:szCs w:val="16"/>
              </w:rPr>
            </w:pPr>
            <w:r w:rsidRPr="003B6014">
              <w:rPr>
                <w:rFonts w:ascii="Arial" w:hAnsi="Arial" w:cs="Arial"/>
                <w:sz w:val="16"/>
                <w:szCs w:val="16"/>
              </w:rPr>
              <w:t>Il corso di LM EMMP promuove e incoraggia, anche con il riconoscimento nell’ambito dei crediti altri, la partecipazione degli studenti e dei docenti ai programmi di scambi internazionali (</w:t>
            </w:r>
            <w:proofErr w:type="spellStart"/>
            <w:r w:rsidRPr="003B6014">
              <w:rPr>
                <w:rFonts w:ascii="Arial" w:hAnsi="Arial" w:cs="Arial"/>
                <w:sz w:val="16"/>
                <w:szCs w:val="16"/>
              </w:rPr>
              <w:t>Socrates</w:t>
            </w:r>
            <w:proofErr w:type="spellEnd"/>
            <w:r w:rsidRPr="003B6014">
              <w:rPr>
                <w:rFonts w:ascii="Arial" w:hAnsi="Arial" w:cs="Arial"/>
                <w:sz w:val="16"/>
                <w:szCs w:val="16"/>
              </w:rPr>
              <w:t xml:space="preserve"> / </w:t>
            </w:r>
            <w:proofErr w:type="spellStart"/>
            <w:r w:rsidRPr="003B6014">
              <w:rPr>
                <w:rFonts w:ascii="Arial" w:hAnsi="Arial" w:cs="Arial"/>
                <w:sz w:val="16"/>
                <w:szCs w:val="16"/>
              </w:rPr>
              <w:t>Erasmus</w:t>
            </w:r>
            <w:proofErr w:type="spellEnd"/>
            <w:r w:rsidRPr="003B6014">
              <w:rPr>
                <w:rFonts w:ascii="Arial" w:hAnsi="Arial" w:cs="Arial"/>
                <w:sz w:val="16"/>
                <w:szCs w:val="16"/>
              </w:rPr>
              <w:t>, ecc.). Per l’approvazione dei progetti degli studenti e per la congruità complessiva delle attività proposte in ques</w:t>
            </w:r>
            <w:r>
              <w:rPr>
                <w:rFonts w:ascii="Arial" w:hAnsi="Arial" w:cs="Arial"/>
                <w:sz w:val="16"/>
                <w:szCs w:val="16"/>
              </w:rPr>
              <w:t>ti ultimi si rimanda all’art. 31</w:t>
            </w:r>
            <w:r w:rsidRPr="003B6014">
              <w:rPr>
                <w:rFonts w:ascii="Arial" w:hAnsi="Arial" w:cs="Arial"/>
                <w:sz w:val="16"/>
                <w:szCs w:val="16"/>
              </w:rPr>
              <w:t>, comma 2 del Regolamento d’Ateneo.</w:t>
            </w:r>
          </w:p>
          <w:p w:rsidR="00F7421C" w:rsidRPr="003B6014" w:rsidRDefault="00F7421C" w:rsidP="00F14C4A">
            <w:pPr>
              <w:pStyle w:val="corpodeltesto"/>
              <w:spacing w:before="120"/>
              <w:jc w:val="both"/>
              <w:rPr>
                <w:rFonts w:cs="Arial"/>
                <w:color w:val="FF0000"/>
                <w:sz w:val="16"/>
                <w:szCs w:val="16"/>
              </w:rPr>
            </w:pPr>
          </w:p>
        </w:tc>
      </w:tr>
      <w:tr w:rsidR="00F7421C" w:rsidRPr="003B6014" w:rsidTr="00F14C4A">
        <w:trPr>
          <w:jc w:val="center"/>
        </w:trPr>
        <w:tc>
          <w:tcPr>
            <w:tcW w:w="1510" w:type="pct"/>
          </w:tcPr>
          <w:p w:rsidR="00F7421C" w:rsidRPr="003B6014" w:rsidRDefault="00F7421C" w:rsidP="00F14C4A">
            <w:pPr>
              <w:rPr>
                <w:rFonts w:ascii="Arial" w:hAnsi="Arial" w:cs="Arial"/>
                <w:sz w:val="16"/>
                <w:szCs w:val="16"/>
              </w:rPr>
            </w:pPr>
            <w:r w:rsidRPr="003B6014">
              <w:rPr>
                <w:rFonts w:ascii="Arial" w:hAnsi="Arial" w:cs="Arial"/>
                <w:sz w:val="16"/>
                <w:szCs w:val="16"/>
              </w:rPr>
              <w:t>Art. 10</w:t>
            </w:r>
          </w:p>
          <w:p w:rsidR="00F7421C" w:rsidRPr="003B6014" w:rsidRDefault="00F7421C" w:rsidP="00F14C4A">
            <w:pPr>
              <w:rPr>
                <w:rFonts w:ascii="Arial" w:hAnsi="Arial" w:cs="Arial"/>
                <w:sz w:val="16"/>
                <w:szCs w:val="16"/>
              </w:rPr>
            </w:pPr>
            <w:r w:rsidRPr="003B6014">
              <w:rPr>
                <w:rFonts w:ascii="Arial" w:hAnsi="Arial" w:cs="Arial"/>
                <w:b/>
                <w:sz w:val="16"/>
                <w:szCs w:val="16"/>
              </w:rPr>
              <w:t>Prova finale</w:t>
            </w:r>
          </w:p>
        </w:tc>
        <w:tc>
          <w:tcPr>
            <w:tcW w:w="3490" w:type="pct"/>
          </w:tcPr>
          <w:p w:rsidR="00F7421C" w:rsidRPr="003B6014" w:rsidRDefault="0050276E" w:rsidP="00F14C4A">
            <w:pPr>
              <w:jc w:val="both"/>
              <w:rPr>
                <w:rFonts w:ascii="Arial" w:hAnsi="Arial" w:cs="Arial"/>
                <w:sz w:val="16"/>
                <w:szCs w:val="16"/>
              </w:rPr>
            </w:pPr>
            <w:r w:rsidRPr="00FF18D7">
              <w:rPr>
                <w:rFonts w:ascii="Arial" w:hAnsi="Arial" w:cs="Arial"/>
                <w:sz w:val="16"/>
                <w:szCs w:val="16"/>
                <w:highlight w:val="yellow"/>
              </w:rPr>
              <w:t>Per essere ammesso alla prova finale lo studente deve aver conseguito i crediti previsti dall’ordinamento</w:t>
            </w:r>
            <w:r w:rsidR="00F7421C" w:rsidRPr="00FF18D7">
              <w:rPr>
                <w:rFonts w:ascii="Arial" w:hAnsi="Arial" w:cs="Arial"/>
                <w:sz w:val="16"/>
                <w:szCs w:val="16"/>
                <w:highlight w:val="yellow"/>
              </w:rPr>
              <w:t>.</w:t>
            </w:r>
          </w:p>
          <w:p w:rsidR="00F7421C" w:rsidRPr="003B6014" w:rsidRDefault="00F7421C" w:rsidP="00F14C4A">
            <w:pPr>
              <w:pStyle w:val="corpodeltesto"/>
              <w:jc w:val="both"/>
              <w:rPr>
                <w:rFonts w:cs="Arial"/>
                <w:sz w:val="16"/>
                <w:szCs w:val="16"/>
              </w:rPr>
            </w:pPr>
            <w:r w:rsidRPr="003B6014">
              <w:rPr>
                <w:rFonts w:cs="Arial"/>
                <w:sz w:val="16"/>
                <w:szCs w:val="16"/>
              </w:rPr>
              <w:t xml:space="preserve">La prova finale consiste nella discussione pubblica della tesi, dinanzi ad apposita Commissione, guidata dal relatore con la partecipazione di un correlatore appartenente all’area scientifica dell’insegnamento nel cui ambito è stata svolta la tesi (salvo richiesta di correlatore di altra area, preventivamente formulata dal relatore, per tesi di argomento interdisciplinare). </w:t>
            </w:r>
          </w:p>
          <w:p w:rsidR="00F7421C" w:rsidRPr="001E5DB9" w:rsidRDefault="00F7421C" w:rsidP="00F14C4A">
            <w:pPr>
              <w:pStyle w:val="corpodeltesto"/>
              <w:jc w:val="both"/>
              <w:rPr>
                <w:rFonts w:cs="Arial"/>
                <w:sz w:val="16"/>
                <w:szCs w:val="16"/>
              </w:rPr>
            </w:pPr>
            <w:r w:rsidRPr="001E5DB9">
              <w:rPr>
                <w:rFonts w:cs="Arial"/>
                <w:sz w:val="16"/>
                <w:szCs w:val="16"/>
              </w:rPr>
              <w:t xml:space="preserve">Lo studente può richiedere la tesi a un qualunque docente </w:t>
            </w:r>
            <w:r>
              <w:rPr>
                <w:rFonts w:cs="Arial"/>
                <w:sz w:val="16"/>
                <w:szCs w:val="16"/>
              </w:rPr>
              <w:t>del Dipartimento</w:t>
            </w:r>
            <w:r w:rsidRPr="001E5DB9">
              <w:rPr>
                <w:rFonts w:cs="Arial"/>
                <w:sz w:val="16"/>
                <w:szCs w:val="16"/>
              </w:rPr>
              <w:t>, purché titolare di insegnamento afferente ad un raggruppamento scientifico disciplinare presente nel piano di studi magistrale dello studente stesso. La tesi si qualifica per metodo di ricerca, adeguata conoscenza e utilizzazione di una bibliografia e/o di una ricerca giurisprudenziale completa ed aggiornata, padronanza della materia ed impegno critico.</w:t>
            </w:r>
          </w:p>
          <w:p w:rsidR="00F7421C" w:rsidRPr="003B6014" w:rsidRDefault="00F7421C" w:rsidP="00F14C4A">
            <w:pPr>
              <w:pStyle w:val="corpodeltesto"/>
              <w:jc w:val="both"/>
              <w:rPr>
                <w:rFonts w:cs="Arial"/>
                <w:sz w:val="16"/>
                <w:szCs w:val="16"/>
              </w:rPr>
            </w:pPr>
            <w:r w:rsidRPr="003B6014">
              <w:rPr>
                <w:rFonts w:cs="Arial"/>
                <w:sz w:val="16"/>
                <w:szCs w:val="16"/>
              </w:rPr>
              <w:t>Si fa rinvio al Manifesto degli Studi per eventuali ulteriori specificazioni in merito.</w:t>
            </w:r>
          </w:p>
          <w:p w:rsidR="00F7421C" w:rsidRPr="003B6014" w:rsidRDefault="00F7421C" w:rsidP="00F14C4A">
            <w:pPr>
              <w:jc w:val="both"/>
              <w:rPr>
                <w:rFonts w:ascii="Arial" w:hAnsi="Arial" w:cs="Arial"/>
                <w:color w:val="0000FF"/>
                <w:sz w:val="16"/>
                <w:szCs w:val="16"/>
              </w:rPr>
            </w:pPr>
          </w:p>
        </w:tc>
      </w:tr>
      <w:tr w:rsidR="00F7421C" w:rsidRPr="003B6014" w:rsidTr="00F14C4A">
        <w:trPr>
          <w:jc w:val="center"/>
        </w:trPr>
        <w:tc>
          <w:tcPr>
            <w:tcW w:w="1510" w:type="pct"/>
          </w:tcPr>
          <w:p w:rsidR="00F7421C" w:rsidRPr="003B6014" w:rsidRDefault="00F7421C" w:rsidP="00F14C4A">
            <w:pPr>
              <w:rPr>
                <w:rFonts w:ascii="Arial" w:hAnsi="Arial" w:cs="Arial"/>
                <w:sz w:val="16"/>
                <w:szCs w:val="16"/>
              </w:rPr>
            </w:pPr>
            <w:r w:rsidRPr="003B6014">
              <w:rPr>
                <w:rFonts w:ascii="Arial" w:hAnsi="Arial" w:cs="Arial"/>
                <w:sz w:val="16"/>
                <w:szCs w:val="16"/>
              </w:rPr>
              <w:t>Art. 11</w:t>
            </w:r>
          </w:p>
          <w:p w:rsidR="00F7421C" w:rsidRPr="003B6014" w:rsidRDefault="00F7421C" w:rsidP="00F14C4A">
            <w:pPr>
              <w:rPr>
                <w:rFonts w:ascii="Arial" w:hAnsi="Arial" w:cs="Arial"/>
                <w:sz w:val="16"/>
                <w:szCs w:val="16"/>
              </w:rPr>
            </w:pPr>
            <w:r w:rsidRPr="003B6014">
              <w:rPr>
                <w:rFonts w:ascii="Arial" w:hAnsi="Arial" w:cs="Arial"/>
                <w:b/>
                <w:sz w:val="16"/>
                <w:szCs w:val="16"/>
              </w:rPr>
              <w:t>Orientamento e tutorato</w:t>
            </w:r>
          </w:p>
        </w:tc>
        <w:tc>
          <w:tcPr>
            <w:tcW w:w="3490" w:type="pct"/>
          </w:tcPr>
          <w:p w:rsidR="00794599" w:rsidRDefault="00FF18D7" w:rsidP="00FF18D7">
            <w:pPr>
              <w:rPr>
                <w:rFonts w:ascii="Arial" w:hAnsi="Arial" w:cs="Arial"/>
                <w:sz w:val="16"/>
                <w:szCs w:val="16"/>
              </w:rPr>
            </w:pPr>
            <w:r w:rsidRPr="0035648E">
              <w:rPr>
                <w:rFonts w:ascii="Arial" w:hAnsi="Arial" w:cs="Arial"/>
                <w:sz w:val="16"/>
                <w:szCs w:val="16"/>
                <w:highlight w:val="yellow"/>
              </w:rPr>
              <w:t>Il Corso di studio partecipa alle attività di orientam</w:t>
            </w:r>
            <w:r w:rsidRPr="006714AA">
              <w:rPr>
                <w:rFonts w:ascii="Arial" w:hAnsi="Arial" w:cs="Arial"/>
                <w:sz w:val="16"/>
                <w:szCs w:val="16"/>
                <w:highlight w:val="yellow"/>
              </w:rPr>
              <w:t xml:space="preserve">ento e tutorato istituite dal Dipartimento </w:t>
            </w:r>
            <w:r w:rsidRPr="0035648E">
              <w:rPr>
                <w:rFonts w:ascii="Arial" w:hAnsi="Arial" w:cs="Arial"/>
                <w:sz w:val="16"/>
                <w:szCs w:val="16"/>
                <w:highlight w:val="yellow"/>
              </w:rPr>
              <w:t>e coordinate dalla Commissione Orientame</w:t>
            </w:r>
            <w:r w:rsidRPr="006714AA">
              <w:rPr>
                <w:rFonts w:ascii="Arial" w:hAnsi="Arial" w:cs="Arial"/>
                <w:sz w:val="16"/>
                <w:szCs w:val="16"/>
                <w:highlight w:val="yellow"/>
              </w:rPr>
              <w:t>nto del Dipartimento</w:t>
            </w:r>
            <w:r w:rsidRPr="0035648E">
              <w:rPr>
                <w:rFonts w:ascii="Arial" w:hAnsi="Arial" w:cs="Arial"/>
                <w:sz w:val="16"/>
                <w:szCs w:val="16"/>
              </w:rPr>
              <w:t xml:space="preserve">. </w:t>
            </w:r>
          </w:p>
          <w:p w:rsidR="00F7421C" w:rsidRPr="003B6014" w:rsidRDefault="00F7421C" w:rsidP="00F14C4A">
            <w:pPr>
              <w:jc w:val="both"/>
              <w:rPr>
                <w:rFonts w:ascii="Arial" w:hAnsi="Arial" w:cs="Arial"/>
                <w:sz w:val="16"/>
                <w:szCs w:val="16"/>
              </w:rPr>
            </w:pPr>
            <w:r w:rsidRPr="003B6014">
              <w:rPr>
                <w:rFonts w:ascii="Arial" w:hAnsi="Arial" w:cs="Arial"/>
                <w:sz w:val="16"/>
                <w:szCs w:val="16"/>
              </w:rPr>
              <w:t xml:space="preserve">Le attività di orientamento sono svolte dai tutor riservati alle Lauree Magistrali, selezionati tra gli iscritti alle Lauree Magistrali dalla Commissione Orientamento di </w:t>
            </w:r>
            <w:r>
              <w:rPr>
                <w:rFonts w:ascii="Arial" w:hAnsi="Arial" w:cs="Arial"/>
                <w:sz w:val="16"/>
                <w:szCs w:val="16"/>
              </w:rPr>
              <w:t>Dipartimento</w:t>
            </w:r>
            <w:r w:rsidRPr="003B6014">
              <w:rPr>
                <w:rFonts w:ascii="Arial" w:hAnsi="Arial" w:cs="Arial"/>
                <w:sz w:val="16"/>
                <w:szCs w:val="16"/>
              </w:rPr>
              <w:t>.</w:t>
            </w:r>
          </w:p>
          <w:p w:rsidR="00F7421C" w:rsidRPr="003B6014" w:rsidRDefault="00F7421C" w:rsidP="00F14C4A">
            <w:pPr>
              <w:jc w:val="both"/>
              <w:rPr>
                <w:rFonts w:ascii="Arial" w:hAnsi="Arial" w:cs="Arial"/>
                <w:color w:val="FF0000"/>
                <w:sz w:val="16"/>
                <w:szCs w:val="16"/>
              </w:rPr>
            </w:pPr>
            <w:r w:rsidRPr="003B6014">
              <w:rPr>
                <w:rFonts w:ascii="Arial" w:hAnsi="Arial" w:cs="Arial"/>
                <w:sz w:val="16"/>
                <w:szCs w:val="16"/>
              </w:rPr>
              <w:t xml:space="preserve">Il tutorato degli studenti iscritti al corso di LM EMMP rientra nei compiti istituzionali dei docenti. Il corso di LM EMMP prevede un docente tutor ogni 20 studenti immatricolati, designato dal Consiglio di Corso di Laurea. I nominativi dei docenti tutor, nonché gli orari di ricevimento, diversi da quelli riservati agli studenti </w:t>
            </w:r>
            <w:r>
              <w:rPr>
                <w:rFonts w:ascii="Arial" w:hAnsi="Arial" w:cs="Arial"/>
                <w:sz w:val="16"/>
                <w:szCs w:val="16"/>
              </w:rPr>
              <w:t xml:space="preserve">e </w:t>
            </w:r>
            <w:r w:rsidRPr="003B6014">
              <w:rPr>
                <w:rFonts w:ascii="Arial" w:hAnsi="Arial" w:cs="Arial"/>
                <w:sz w:val="16"/>
                <w:szCs w:val="16"/>
              </w:rPr>
              <w:t>ai laureandi, sono reperibili nel Manifesto degli Studi e sul sito web.</w:t>
            </w:r>
          </w:p>
          <w:p w:rsidR="00F7421C" w:rsidRPr="003B6014" w:rsidRDefault="00F7421C" w:rsidP="00F14C4A">
            <w:pPr>
              <w:jc w:val="both"/>
              <w:rPr>
                <w:rFonts w:ascii="Arial" w:hAnsi="Arial" w:cs="Arial"/>
                <w:color w:val="0000FF"/>
                <w:sz w:val="16"/>
                <w:szCs w:val="16"/>
              </w:rPr>
            </w:pPr>
          </w:p>
        </w:tc>
      </w:tr>
      <w:tr w:rsidR="00F7421C" w:rsidRPr="003B6014" w:rsidTr="00F14C4A">
        <w:trPr>
          <w:jc w:val="center"/>
        </w:trPr>
        <w:tc>
          <w:tcPr>
            <w:tcW w:w="1510" w:type="pct"/>
          </w:tcPr>
          <w:p w:rsidR="00F7421C" w:rsidRPr="003B6014" w:rsidRDefault="00F743FE" w:rsidP="00F14C4A">
            <w:pPr>
              <w:rPr>
                <w:rFonts w:ascii="Arial" w:hAnsi="Arial" w:cs="Arial"/>
                <w:sz w:val="16"/>
                <w:szCs w:val="16"/>
              </w:rPr>
            </w:pPr>
            <w:r>
              <w:rPr>
                <w:rFonts w:ascii="Arial" w:hAnsi="Arial" w:cs="Arial"/>
                <w:sz w:val="16"/>
                <w:szCs w:val="16"/>
              </w:rPr>
              <w:t>Art. 12</w:t>
            </w:r>
          </w:p>
          <w:p w:rsidR="00F7421C" w:rsidRPr="003B6014" w:rsidRDefault="00F7421C" w:rsidP="00F14C4A">
            <w:pPr>
              <w:rPr>
                <w:rFonts w:ascii="Arial" w:hAnsi="Arial" w:cs="Arial"/>
                <w:sz w:val="16"/>
                <w:szCs w:val="16"/>
              </w:rPr>
            </w:pPr>
            <w:r w:rsidRPr="003B6014">
              <w:rPr>
                <w:rFonts w:ascii="Arial" w:hAnsi="Arial" w:cs="Arial"/>
                <w:b/>
                <w:sz w:val="16"/>
                <w:szCs w:val="16"/>
              </w:rPr>
              <w:t>Verifica periodica dei crediti</w:t>
            </w:r>
          </w:p>
        </w:tc>
        <w:tc>
          <w:tcPr>
            <w:tcW w:w="3490" w:type="pct"/>
          </w:tcPr>
          <w:p w:rsidR="00F7421C" w:rsidRPr="003B6014" w:rsidRDefault="00F7421C" w:rsidP="00F14C4A">
            <w:pPr>
              <w:jc w:val="both"/>
              <w:rPr>
                <w:rFonts w:ascii="Arial" w:hAnsi="Arial" w:cs="Arial"/>
                <w:sz w:val="16"/>
                <w:szCs w:val="16"/>
              </w:rPr>
            </w:pPr>
            <w:r w:rsidRPr="003B6014">
              <w:rPr>
                <w:rFonts w:ascii="Arial" w:hAnsi="Arial" w:cs="Arial"/>
                <w:sz w:val="16"/>
                <w:szCs w:val="16"/>
              </w:rPr>
              <w:t>Ogni due anni il Consiglio del Corso di studio verifica se i CFU attribuiti a ciascuna attività formativa sono coerenti con gli obiettivi formativi.</w:t>
            </w:r>
          </w:p>
          <w:p w:rsidR="00F7421C" w:rsidRPr="003B6014" w:rsidRDefault="00F7421C" w:rsidP="00F14C4A">
            <w:pPr>
              <w:jc w:val="both"/>
              <w:rPr>
                <w:rFonts w:ascii="Arial" w:hAnsi="Arial" w:cs="Arial"/>
                <w:sz w:val="16"/>
                <w:szCs w:val="16"/>
              </w:rPr>
            </w:pPr>
            <w:r w:rsidRPr="003B6014">
              <w:rPr>
                <w:rFonts w:ascii="Arial" w:hAnsi="Arial" w:cs="Arial"/>
                <w:sz w:val="16"/>
                <w:szCs w:val="16"/>
              </w:rPr>
              <w:t>Annualmente apposita Commissione procede alla revisione del presente Regolamento</w:t>
            </w:r>
          </w:p>
        </w:tc>
      </w:tr>
      <w:tr w:rsidR="00F7421C" w:rsidRPr="003B6014" w:rsidTr="00F14C4A">
        <w:trPr>
          <w:jc w:val="center"/>
        </w:trPr>
        <w:tc>
          <w:tcPr>
            <w:tcW w:w="1510" w:type="pct"/>
          </w:tcPr>
          <w:p w:rsidR="00F7421C" w:rsidRPr="003B6014" w:rsidRDefault="00F743FE" w:rsidP="00F14C4A">
            <w:pPr>
              <w:rPr>
                <w:rFonts w:ascii="Arial" w:hAnsi="Arial" w:cs="Arial"/>
                <w:sz w:val="16"/>
                <w:szCs w:val="16"/>
              </w:rPr>
            </w:pPr>
            <w:r>
              <w:rPr>
                <w:rFonts w:ascii="Arial" w:hAnsi="Arial" w:cs="Arial"/>
                <w:sz w:val="16"/>
                <w:szCs w:val="16"/>
              </w:rPr>
              <w:lastRenderedPageBreak/>
              <w:t>Art. 13</w:t>
            </w:r>
          </w:p>
          <w:p w:rsidR="00F7421C" w:rsidRPr="003B6014" w:rsidRDefault="00F7421C" w:rsidP="00F14C4A">
            <w:pPr>
              <w:rPr>
                <w:rFonts w:ascii="Arial" w:hAnsi="Arial" w:cs="Arial"/>
                <w:sz w:val="16"/>
                <w:szCs w:val="16"/>
              </w:rPr>
            </w:pPr>
            <w:r w:rsidRPr="003B6014">
              <w:rPr>
                <w:rFonts w:ascii="Arial" w:hAnsi="Arial" w:cs="Arial"/>
                <w:b/>
                <w:sz w:val="16"/>
                <w:szCs w:val="16"/>
              </w:rPr>
              <w:t>Norme transitorie e finali</w:t>
            </w:r>
          </w:p>
        </w:tc>
        <w:tc>
          <w:tcPr>
            <w:tcW w:w="3490" w:type="pct"/>
          </w:tcPr>
          <w:p w:rsidR="00F7421C" w:rsidRPr="003B6014" w:rsidRDefault="00F7421C" w:rsidP="00F14C4A">
            <w:pPr>
              <w:jc w:val="both"/>
              <w:rPr>
                <w:rFonts w:ascii="Arial" w:hAnsi="Arial" w:cs="Arial"/>
                <w:bCs/>
                <w:sz w:val="16"/>
                <w:szCs w:val="16"/>
              </w:rPr>
            </w:pPr>
            <w:r w:rsidRPr="003B6014">
              <w:rPr>
                <w:rFonts w:ascii="Arial" w:hAnsi="Arial" w:cs="Arial"/>
                <w:bCs/>
                <w:sz w:val="16"/>
                <w:szCs w:val="16"/>
              </w:rPr>
              <w:t xml:space="preserve">Nel passaggio dall’ordinamento didattico ex DM </w:t>
            </w:r>
            <w:smartTag w:uri="urn:schemas-microsoft-com:office:smarttags" w:element="metricconverter">
              <w:smartTagPr>
                <w:attr w:name="ProductID" w:val="509 a"/>
              </w:smartTagPr>
              <w:r w:rsidRPr="003B6014">
                <w:rPr>
                  <w:rFonts w:ascii="Arial" w:hAnsi="Arial" w:cs="Arial"/>
                  <w:bCs/>
                  <w:sz w:val="16"/>
                  <w:szCs w:val="16"/>
                </w:rPr>
                <w:t>509 a</w:t>
              </w:r>
            </w:smartTag>
            <w:r w:rsidRPr="003B6014">
              <w:rPr>
                <w:rFonts w:ascii="Arial" w:hAnsi="Arial" w:cs="Arial"/>
                <w:bCs/>
                <w:sz w:val="16"/>
                <w:szCs w:val="16"/>
              </w:rPr>
              <w:t xml:space="preserve"> quello ex DM 270 gli insegnamenti da 5 CFU sono considerati equivalenti a quelli da 6 CFU; analogamente, gli insegnamenti da 9 CFU sono considerati equivalenti a quali da 10 CFU, solo per gli studenti provenienti dai corsi di laurea offerti dal</w:t>
            </w:r>
            <w:r>
              <w:rPr>
                <w:rFonts w:ascii="Arial" w:hAnsi="Arial" w:cs="Arial"/>
                <w:bCs/>
                <w:sz w:val="16"/>
                <w:szCs w:val="16"/>
              </w:rPr>
              <w:t xml:space="preserve"> Dipartimento di Economia.</w:t>
            </w:r>
          </w:p>
          <w:p w:rsidR="00F7421C" w:rsidRPr="003B6014" w:rsidRDefault="00F7421C" w:rsidP="00F14C4A">
            <w:pPr>
              <w:jc w:val="both"/>
              <w:rPr>
                <w:rFonts w:ascii="Arial" w:hAnsi="Arial" w:cs="Arial"/>
                <w:bCs/>
                <w:sz w:val="16"/>
                <w:szCs w:val="16"/>
              </w:rPr>
            </w:pPr>
            <w:r w:rsidRPr="003B6014">
              <w:rPr>
                <w:rFonts w:ascii="Arial" w:hAnsi="Arial" w:cs="Arial"/>
                <w:bCs/>
                <w:sz w:val="16"/>
                <w:szCs w:val="16"/>
              </w:rPr>
              <w:t>Questa regola varrà per i passaggi e per la verifica dei requisiti curriculari per l’accesso alla LM EMMP.</w:t>
            </w:r>
          </w:p>
          <w:p w:rsidR="00F7421C" w:rsidRPr="003B6014" w:rsidRDefault="00F7421C" w:rsidP="00F14C4A">
            <w:pPr>
              <w:jc w:val="both"/>
              <w:rPr>
                <w:rFonts w:ascii="Arial" w:hAnsi="Arial" w:cs="Arial"/>
                <w:sz w:val="16"/>
                <w:szCs w:val="16"/>
              </w:rPr>
            </w:pPr>
          </w:p>
        </w:tc>
      </w:tr>
    </w:tbl>
    <w:p w:rsidR="003D517C" w:rsidRPr="003D517C" w:rsidRDefault="003D517C" w:rsidP="003D517C">
      <w:pPr>
        <w:spacing w:after="0" w:line="240" w:lineRule="auto"/>
        <w:rPr>
          <w:rFonts w:ascii="Times New Roman" w:eastAsia="Times New Roman" w:hAnsi="Times New Roman" w:cs="Times New Roman"/>
          <w:sz w:val="24"/>
          <w:szCs w:val="24"/>
          <w:lang w:eastAsia="it-IT"/>
        </w:rPr>
      </w:pPr>
    </w:p>
    <w:p w:rsidR="003D517C" w:rsidRPr="003D517C" w:rsidRDefault="003D517C" w:rsidP="003D517C">
      <w:pPr>
        <w:spacing w:after="0" w:line="240" w:lineRule="auto"/>
        <w:jc w:val="both"/>
        <w:rPr>
          <w:rFonts w:ascii="Times New Roman" w:eastAsia="Times New Roman" w:hAnsi="Times New Roman" w:cs="Times New Roman"/>
          <w:sz w:val="24"/>
          <w:szCs w:val="24"/>
          <w:lang w:eastAsia="it-IT"/>
        </w:rPr>
      </w:pPr>
    </w:p>
    <w:p w:rsidR="003D517C" w:rsidRPr="003D517C" w:rsidRDefault="00CA2314" w:rsidP="003D517C">
      <w:pPr>
        <w:spacing w:before="100" w:beforeAutospacing="1" w:after="100" w:afterAutospacing="1" w:line="240" w:lineRule="auto"/>
        <w:ind w:right="140"/>
        <w:jc w:val="center"/>
        <w:rPr>
          <w:rFonts w:ascii="Times New Roman" w:eastAsia="Times New Roman" w:hAnsi="Times New Roman" w:cs="Times New Roman"/>
          <w:sz w:val="20"/>
          <w:szCs w:val="20"/>
          <w:lang w:eastAsia="it-IT"/>
        </w:rPr>
      </w:pPr>
      <w:r>
        <w:rPr>
          <w:rFonts w:ascii="Times New Roman" w:eastAsia="Times New Roman" w:hAnsi="Times New Roman" w:cs="Times New Roman"/>
          <w:b/>
          <w:bCs/>
          <w:sz w:val="20"/>
          <w:szCs w:val="20"/>
          <w:lang w:eastAsia="it-IT"/>
        </w:rPr>
        <w:t>Parte speciale</w:t>
      </w:r>
    </w:p>
    <w:p w:rsidR="003D517C" w:rsidRDefault="00380F7E" w:rsidP="003D517C">
      <w:pPr>
        <w:spacing w:before="100" w:beforeAutospacing="1" w:after="100" w:afterAutospacing="1" w:line="240" w:lineRule="auto"/>
        <w:ind w:right="140"/>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Attività formative</w:t>
      </w:r>
      <w:r w:rsidR="003D517C" w:rsidRPr="003D517C">
        <w:rPr>
          <w:rFonts w:ascii="Times New Roman" w:eastAsia="Times New Roman" w:hAnsi="Times New Roman" w:cs="Times New Roman"/>
          <w:b/>
          <w:bCs/>
          <w:sz w:val="20"/>
          <w:szCs w:val="20"/>
          <w:lang w:eastAsia="it-IT"/>
        </w:rPr>
        <w:t xml:space="preserve"> attivabili</w:t>
      </w:r>
    </w:p>
    <w:p w:rsidR="00CA2314" w:rsidRPr="003D517C" w:rsidRDefault="00CA2314" w:rsidP="003D517C">
      <w:pPr>
        <w:spacing w:before="100" w:beforeAutospacing="1" w:after="100" w:afterAutospacing="1" w:line="240" w:lineRule="auto"/>
        <w:ind w:right="140"/>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(vedi file Excel allegato)</w:t>
      </w:r>
    </w:p>
    <w:p w:rsidR="00FA1555" w:rsidRPr="003D517C" w:rsidRDefault="003D517C" w:rsidP="003D517C">
      <w:pPr>
        <w:spacing w:before="100" w:beforeAutospacing="1" w:after="100" w:afterAutospacing="1" w:line="240" w:lineRule="auto"/>
        <w:ind w:right="140"/>
        <w:jc w:val="center"/>
        <w:rPr>
          <w:rFonts w:ascii="Times New Roman" w:eastAsia="Times New Roman" w:hAnsi="Times New Roman" w:cs="Times New Roman"/>
          <w:sz w:val="24"/>
          <w:szCs w:val="24"/>
          <w:lang w:eastAsia="it-IT"/>
        </w:rPr>
      </w:pPr>
      <w:r w:rsidRPr="003D517C">
        <w:rPr>
          <w:rFonts w:ascii="Times New Roman" w:eastAsia="Times New Roman" w:hAnsi="Times New Roman" w:cs="Times New Roman"/>
          <w:b/>
          <w:bCs/>
          <w:sz w:val="20"/>
          <w:szCs w:val="20"/>
          <w:lang w:eastAsia="it-IT"/>
        </w:rPr>
        <w:t>...</w:t>
      </w:r>
    </w:p>
    <w:p w:rsidR="00B53DD9" w:rsidRDefault="00B53DD9"/>
    <w:p w:rsidR="00B53DD9" w:rsidRDefault="00B53DD9"/>
    <w:sectPr w:rsidR="00B53DD9" w:rsidSect="00381679">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587"/>
    <w:multiLevelType w:val="hybridMultilevel"/>
    <w:tmpl w:val="82E62FE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ED35B89"/>
    <w:multiLevelType w:val="hybridMultilevel"/>
    <w:tmpl w:val="DF38E3D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6094566C"/>
    <w:multiLevelType w:val="hybridMultilevel"/>
    <w:tmpl w:val="7E7CB9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B53DD9"/>
    <w:rsid w:val="00046130"/>
    <w:rsid w:val="001562DA"/>
    <w:rsid w:val="00232B7B"/>
    <w:rsid w:val="002D02E9"/>
    <w:rsid w:val="002F6F33"/>
    <w:rsid w:val="00313BB4"/>
    <w:rsid w:val="00365479"/>
    <w:rsid w:val="00380F7E"/>
    <w:rsid w:val="00381679"/>
    <w:rsid w:val="003979EC"/>
    <w:rsid w:val="003D517C"/>
    <w:rsid w:val="00441B4C"/>
    <w:rsid w:val="0050276E"/>
    <w:rsid w:val="00532655"/>
    <w:rsid w:val="005419E0"/>
    <w:rsid w:val="00551084"/>
    <w:rsid w:val="005C2A54"/>
    <w:rsid w:val="005D4D2A"/>
    <w:rsid w:val="0063118C"/>
    <w:rsid w:val="00654953"/>
    <w:rsid w:val="006619A5"/>
    <w:rsid w:val="006F4D09"/>
    <w:rsid w:val="0070206C"/>
    <w:rsid w:val="00704E37"/>
    <w:rsid w:val="007245E5"/>
    <w:rsid w:val="007835FA"/>
    <w:rsid w:val="00794599"/>
    <w:rsid w:val="008301D0"/>
    <w:rsid w:val="008A5DB0"/>
    <w:rsid w:val="008F1ED4"/>
    <w:rsid w:val="00915386"/>
    <w:rsid w:val="00A16B24"/>
    <w:rsid w:val="00A5398B"/>
    <w:rsid w:val="00A70A15"/>
    <w:rsid w:val="00AB5CA9"/>
    <w:rsid w:val="00AD2D8A"/>
    <w:rsid w:val="00B446FF"/>
    <w:rsid w:val="00B53DD9"/>
    <w:rsid w:val="00BA3576"/>
    <w:rsid w:val="00BC4FF2"/>
    <w:rsid w:val="00C12A94"/>
    <w:rsid w:val="00C56251"/>
    <w:rsid w:val="00CA2314"/>
    <w:rsid w:val="00CA6C6A"/>
    <w:rsid w:val="00E63FC9"/>
    <w:rsid w:val="00E909D7"/>
    <w:rsid w:val="00E967C7"/>
    <w:rsid w:val="00F7421C"/>
    <w:rsid w:val="00F743FE"/>
    <w:rsid w:val="00FA1555"/>
    <w:rsid w:val="00FF18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5E5"/>
  </w:style>
  <w:style w:type="paragraph" w:styleId="Titolo1">
    <w:name w:val="heading 1"/>
    <w:basedOn w:val="Normale"/>
    <w:next w:val="Normale"/>
    <w:link w:val="Titolo1Carattere"/>
    <w:uiPriority w:val="9"/>
    <w:qFormat/>
    <w:rsid w:val="00E63F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Titolo1"/>
    <w:next w:val="Normale"/>
    <w:link w:val="CitazioneintensaCarattere"/>
    <w:autoRedefine/>
    <w:uiPriority w:val="30"/>
    <w:qFormat/>
    <w:rsid w:val="00E63F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E63FC9"/>
    <w:rPr>
      <w:rFonts w:asciiTheme="majorHAnsi" w:eastAsiaTheme="majorEastAsia" w:hAnsiTheme="majorHAnsi" w:cstheme="majorBidi"/>
      <w:i/>
      <w:iCs/>
      <w:color w:val="5B9BD5" w:themeColor="accent1"/>
      <w:sz w:val="32"/>
      <w:szCs w:val="32"/>
    </w:rPr>
  </w:style>
  <w:style w:type="character" w:customStyle="1" w:styleId="Titolo1Carattere">
    <w:name w:val="Titolo 1 Carattere"/>
    <w:basedOn w:val="Carpredefinitoparagrafo"/>
    <w:link w:val="Titolo1"/>
    <w:uiPriority w:val="9"/>
    <w:rsid w:val="00E63FC9"/>
    <w:rPr>
      <w:rFonts w:asciiTheme="majorHAnsi" w:eastAsiaTheme="majorEastAsia" w:hAnsiTheme="majorHAnsi" w:cstheme="majorBidi"/>
      <w:color w:val="2E74B5" w:themeColor="accent1" w:themeShade="BF"/>
      <w:sz w:val="32"/>
      <w:szCs w:val="32"/>
    </w:rPr>
  </w:style>
  <w:style w:type="table" w:styleId="Grigliatabella">
    <w:name w:val="Table Grid"/>
    <w:basedOn w:val="Tabellanormale"/>
    <w:rsid w:val="00B53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3D517C"/>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rsid w:val="00F7421C"/>
    <w:pPr>
      <w:spacing w:after="0" w:line="240" w:lineRule="auto"/>
    </w:pPr>
    <w:rPr>
      <w:rFonts w:ascii="Arial" w:eastAsia="Times New Roman" w:hAnsi="Arial" w:cs="Times New Roman"/>
      <w:sz w:val="18"/>
      <w:szCs w:val="20"/>
      <w:lang w:eastAsia="it-IT"/>
    </w:rPr>
  </w:style>
</w:styles>
</file>

<file path=word/webSettings.xml><?xml version="1.0" encoding="utf-8"?>
<w:webSettings xmlns:r="http://schemas.openxmlformats.org/officeDocument/2006/relationships" xmlns:w="http://schemas.openxmlformats.org/wordprocessingml/2006/main">
  <w:divs>
    <w:div w:id="31077017">
      <w:bodyDiv w:val="1"/>
      <w:marLeft w:val="0"/>
      <w:marRight w:val="0"/>
      <w:marTop w:val="0"/>
      <w:marBottom w:val="0"/>
      <w:divBdr>
        <w:top w:val="none" w:sz="0" w:space="0" w:color="auto"/>
        <w:left w:val="none" w:sz="0" w:space="0" w:color="auto"/>
        <w:bottom w:val="none" w:sz="0" w:space="0" w:color="auto"/>
        <w:right w:val="none" w:sz="0" w:space="0" w:color="auto"/>
      </w:divBdr>
    </w:div>
    <w:div w:id="194854252">
      <w:bodyDiv w:val="1"/>
      <w:marLeft w:val="0"/>
      <w:marRight w:val="0"/>
      <w:marTop w:val="0"/>
      <w:marBottom w:val="0"/>
      <w:divBdr>
        <w:top w:val="none" w:sz="0" w:space="0" w:color="auto"/>
        <w:left w:val="none" w:sz="0" w:space="0" w:color="auto"/>
        <w:bottom w:val="none" w:sz="0" w:space="0" w:color="auto"/>
        <w:right w:val="none" w:sz="0" w:space="0" w:color="auto"/>
      </w:divBdr>
    </w:div>
    <w:div w:id="540166747">
      <w:bodyDiv w:val="1"/>
      <w:marLeft w:val="0"/>
      <w:marRight w:val="0"/>
      <w:marTop w:val="0"/>
      <w:marBottom w:val="0"/>
      <w:divBdr>
        <w:top w:val="none" w:sz="0" w:space="0" w:color="auto"/>
        <w:left w:val="none" w:sz="0" w:space="0" w:color="auto"/>
        <w:bottom w:val="none" w:sz="0" w:space="0" w:color="auto"/>
        <w:right w:val="none" w:sz="0" w:space="0" w:color="auto"/>
      </w:divBdr>
    </w:div>
    <w:div w:id="540435222">
      <w:bodyDiv w:val="1"/>
      <w:marLeft w:val="0"/>
      <w:marRight w:val="0"/>
      <w:marTop w:val="0"/>
      <w:marBottom w:val="0"/>
      <w:divBdr>
        <w:top w:val="none" w:sz="0" w:space="0" w:color="auto"/>
        <w:left w:val="none" w:sz="0" w:space="0" w:color="auto"/>
        <w:bottom w:val="none" w:sz="0" w:space="0" w:color="auto"/>
        <w:right w:val="none" w:sz="0" w:space="0" w:color="auto"/>
      </w:divBdr>
    </w:div>
    <w:div w:id="659500331">
      <w:bodyDiv w:val="1"/>
      <w:marLeft w:val="0"/>
      <w:marRight w:val="0"/>
      <w:marTop w:val="0"/>
      <w:marBottom w:val="0"/>
      <w:divBdr>
        <w:top w:val="none" w:sz="0" w:space="0" w:color="auto"/>
        <w:left w:val="none" w:sz="0" w:space="0" w:color="auto"/>
        <w:bottom w:val="none" w:sz="0" w:space="0" w:color="auto"/>
        <w:right w:val="none" w:sz="0" w:space="0" w:color="auto"/>
      </w:divBdr>
    </w:div>
    <w:div w:id="699547056">
      <w:bodyDiv w:val="1"/>
      <w:marLeft w:val="0"/>
      <w:marRight w:val="0"/>
      <w:marTop w:val="0"/>
      <w:marBottom w:val="0"/>
      <w:divBdr>
        <w:top w:val="none" w:sz="0" w:space="0" w:color="auto"/>
        <w:left w:val="none" w:sz="0" w:space="0" w:color="auto"/>
        <w:bottom w:val="none" w:sz="0" w:space="0" w:color="auto"/>
        <w:right w:val="none" w:sz="0" w:space="0" w:color="auto"/>
      </w:divBdr>
    </w:div>
    <w:div w:id="746732161">
      <w:bodyDiv w:val="1"/>
      <w:marLeft w:val="0"/>
      <w:marRight w:val="0"/>
      <w:marTop w:val="0"/>
      <w:marBottom w:val="0"/>
      <w:divBdr>
        <w:top w:val="none" w:sz="0" w:space="0" w:color="auto"/>
        <w:left w:val="none" w:sz="0" w:space="0" w:color="auto"/>
        <w:bottom w:val="none" w:sz="0" w:space="0" w:color="auto"/>
        <w:right w:val="none" w:sz="0" w:space="0" w:color="auto"/>
      </w:divBdr>
    </w:div>
    <w:div w:id="1020084294">
      <w:bodyDiv w:val="1"/>
      <w:marLeft w:val="0"/>
      <w:marRight w:val="0"/>
      <w:marTop w:val="0"/>
      <w:marBottom w:val="0"/>
      <w:divBdr>
        <w:top w:val="none" w:sz="0" w:space="0" w:color="auto"/>
        <w:left w:val="none" w:sz="0" w:space="0" w:color="auto"/>
        <w:bottom w:val="none" w:sz="0" w:space="0" w:color="auto"/>
        <w:right w:val="none" w:sz="0" w:space="0" w:color="auto"/>
      </w:divBdr>
    </w:div>
    <w:div w:id="1548831630">
      <w:bodyDiv w:val="1"/>
      <w:marLeft w:val="0"/>
      <w:marRight w:val="0"/>
      <w:marTop w:val="0"/>
      <w:marBottom w:val="0"/>
      <w:divBdr>
        <w:top w:val="none" w:sz="0" w:space="0" w:color="auto"/>
        <w:left w:val="none" w:sz="0" w:space="0" w:color="auto"/>
        <w:bottom w:val="none" w:sz="0" w:space="0" w:color="auto"/>
        <w:right w:val="none" w:sz="0" w:space="0" w:color="auto"/>
      </w:divBdr>
    </w:div>
    <w:div w:id="1556356113">
      <w:bodyDiv w:val="1"/>
      <w:marLeft w:val="0"/>
      <w:marRight w:val="0"/>
      <w:marTop w:val="0"/>
      <w:marBottom w:val="0"/>
      <w:divBdr>
        <w:top w:val="none" w:sz="0" w:space="0" w:color="auto"/>
        <w:left w:val="none" w:sz="0" w:space="0" w:color="auto"/>
        <w:bottom w:val="none" w:sz="0" w:space="0" w:color="auto"/>
        <w:right w:val="none" w:sz="0" w:space="0" w:color="auto"/>
      </w:divBdr>
    </w:div>
    <w:div w:id="1786462854">
      <w:bodyDiv w:val="1"/>
      <w:marLeft w:val="0"/>
      <w:marRight w:val="0"/>
      <w:marTop w:val="0"/>
      <w:marBottom w:val="0"/>
      <w:divBdr>
        <w:top w:val="none" w:sz="0" w:space="0" w:color="auto"/>
        <w:left w:val="none" w:sz="0" w:space="0" w:color="auto"/>
        <w:bottom w:val="none" w:sz="0" w:space="0" w:color="auto"/>
        <w:right w:val="none" w:sz="0" w:space="0" w:color="auto"/>
      </w:divBdr>
    </w:div>
    <w:div w:id="1961108105">
      <w:bodyDiv w:val="1"/>
      <w:marLeft w:val="0"/>
      <w:marRight w:val="0"/>
      <w:marTop w:val="0"/>
      <w:marBottom w:val="0"/>
      <w:divBdr>
        <w:top w:val="none" w:sz="0" w:space="0" w:color="auto"/>
        <w:left w:val="none" w:sz="0" w:space="0" w:color="auto"/>
        <w:bottom w:val="none" w:sz="0" w:space="0" w:color="auto"/>
        <w:right w:val="none" w:sz="0" w:space="0" w:color="auto"/>
      </w:divBdr>
    </w:div>
    <w:div w:id="19683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2372</Words>
  <Characters>13525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 Leda</dc:creator>
  <cp:lastModifiedBy>Francesca Marciani</cp:lastModifiedBy>
  <cp:revision>5</cp:revision>
  <dcterms:created xsi:type="dcterms:W3CDTF">2014-04-15T09:01:00Z</dcterms:created>
  <dcterms:modified xsi:type="dcterms:W3CDTF">2014-04-15T09:10:00Z</dcterms:modified>
</cp:coreProperties>
</file>